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CD4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绍兴滨海新区控股集团有限公司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下属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合资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社会化公开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招聘计划表</w:t>
      </w:r>
    </w:p>
    <w:p w14:paraId="2CAFB21A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6"/>
        <w:tblW w:w="13719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76"/>
        <w:gridCol w:w="775"/>
        <w:gridCol w:w="3267"/>
        <w:gridCol w:w="1311"/>
        <w:gridCol w:w="1096"/>
        <w:gridCol w:w="3229"/>
        <w:gridCol w:w="1019"/>
        <w:gridCol w:w="1541"/>
      </w:tblGrid>
      <w:tr w14:paraId="63CB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05" w:type="dxa"/>
            <w:noWrap w:val="0"/>
            <w:vAlign w:val="center"/>
          </w:tcPr>
          <w:p w14:paraId="5C7FAD49"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76" w:type="dxa"/>
            <w:noWrap w:val="0"/>
            <w:vAlign w:val="center"/>
          </w:tcPr>
          <w:p w14:paraId="74F3BE16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775" w:type="dxa"/>
            <w:noWrap w:val="0"/>
            <w:vAlign w:val="center"/>
          </w:tcPr>
          <w:p w14:paraId="3EBB0241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招聘</w:t>
            </w:r>
          </w:p>
          <w:p w14:paraId="679C3694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3267" w:type="dxa"/>
            <w:noWrap w:val="0"/>
            <w:vAlign w:val="center"/>
          </w:tcPr>
          <w:p w14:paraId="3A1088E2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11" w:type="dxa"/>
            <w:noWrap w:val="0"/>
            <w:vAlign w:val="center"/>
          </w:tcPr>
          <w:p w14:paraId="4967BB5E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学历</w:t>
            </w:r>
          </w:p>
          <w:p w14:paraId="6E037394"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096" w:type="dxa"/>
            <w:noWrap w:val="0"/>
            <w:vAlign w:val="center"/>
          </w:tcPr>
          <w:p w14:paraId="60A7A2DE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年龄</w:t>
            </w:r>
          </w:p>
          <w:p w14:paraId="4DD40BE0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3229" w:type="dxa"/>
            <w:noWrap w:val="0"/>
            <w:vAlign w:val="center"/>
          </w:tcPr>
          <w:p w14:paraId="7CE2C98C"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019" w:type="dxa"/>
            <w:noWrap w:val="0"/>
            <w:vAlign w:val="center"/>
          </w:tcPr>
          <w:p w14:paraId="2D99948C">
            <w:pPr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企业</w:t>
            </w:r>
          </w:p>
        </w:tc>
        <w:tc>
          <w:tcPr>
            <w:tcW w:w="1541" w:type="dxa"/>
            <w:noWrap w:val="0"/>
            <w:vAlign w:val="center"/>
          </w:tcPr>
          <w:p w14:paraId="579A137C"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03D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05" w:type="dxa"/>
            <w:noWrap w:val="0"/>
            <w:vAlign w:val="center"/>
          </w:tcPr>
          <w:p w14:paraId="5D39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76" w:type="dxa"/>
            <w:noWrap w:val="0"/>
            <w:vAlign w:val="center"/>
          </w:tcPr>
          <w:p w14:paraId="24ED3E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综合岗</w:t>
            </w:r>
          </w:p>
        </w:tc>
        <w:tc>
          <w:tcPr>
            <w:tcW w:w="775" w:type="dxa"/>
            <w:noWrap w:val="0"/>
            <w:vAlign w:val="center"/>
          </w:tcPr>
          <w:p w14:paraId="10A482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67" w:type="dxa"/>
            <w:shd w:val="clear" w:color="auto" w:fill="auto"/>
            <w:noWrap w:val="0"/>
            <w:vAlign w:val="center"/>
          </w:tcPr>
          <w:p w14:paraId="11B76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汉语言文学、行政管理、法学、金融学、新闻传播学类、经济学</w:t>
            </w:r>
          </w:p>
          <w:p w14:paraId="14CE0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行政管理、法学、中国语言文学类、新闻传播学类、理论经济学类、应用经济学类</w:t>
            </w:r>
          </w:p>
        </w:tc>
        <w:tc>
          <w:tcPr>
            <w:tcW w:w="1311" w:type="dxa"/>
            <w:noWrap w:val="0"/>
            <w:vAlign w:val="center"/>
          </w:tcPr>
          <w:p w14:paraId="504E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本科及以上 </w:t>
            </w:r>
          </w:p>
        </w:tc>
        <w:tc>
          <w:tcPr>
            <w:tcW w:w="1096" w:type="dxa"/>
            <w:noWrap w:val="0"/>
            <w:vAlign w:val="center"/>
          </w:tcPr>
          <w:p w14:paraId="6E932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35周岁</w:t>
            </w:r>
          </w:p>
          <w:p w14:paraId="67CA4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68DDD9C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1.具有良好的公文写作和综合协调能力;</w:t>
            </w:r>
          </w:p>
          <w:p w14:paraId="541A996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2.中共党员、硕士研究生优先;</w:t>
            </w:r>
          </w:p>
          <w:p w14:paraId="4DDF617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3.具有1年及以上国有企业综合办公室管理相关工作经历（需提供相关佐证材料）;</w:t>
            </w:r>
          </w:p>
          <w:p w14:paraId="2C6970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4.需要兼顾财务工作，有财务经验者优先。       </w:t>
            </w:r>
          </w:p>
        </w:tc>
        <w:tc>
          <w:tcPr>
            <w:tcW w:w="1019" w:type="dxa"/>
            <w:noWrap w:val="0"/>
            <w:vAlign w:val="center"/>
          </w:tcPr>
          <w:p w14:paraId="44EB0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兴滨海新区滨发大数据科技有限公司</w:t>
            </w:r>
          </w:p>
        </w:tc>
        <w:tc>
          <w:tcPr>
            <w:tcW w:w="1541" w:type="dxa"/>
            <w:noWrap w:val="0"/>
            <w:vAlign w:val="center"/>
          </w:tcPr>
          <w:p w14:paraId="2DF5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4"/>
                <w:lang w:val="en-US" w:eastAsia="zh-CN" w:bidi="ar"/>
              </w:rPr>
            </w:pPr>
          </w:p>
        </w:tc>
      </w:tr>
      <w:tr w14:paraId="7409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605" w:type="dxa"/>
            <w:noWrap w:val="0"/>
            <w:vAlign w:val="center"/>
          </w:tcPr>
          <w:p w14:paraId="52224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76" w:type="dxa"/>
            <w:noWrap w:val="0"/>
            <w:vAlign w:val="center"/>
          </w:tcPr>
          <w:p w14:paraId="1E29C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  <w:t>采购管理岗</w:t>
            </w:r>
          </w:p>
        </w:tc>
        <w:tc>
          <w:tcPr>
            <w:tcW w:w="775" w:type="dxa"/>
            <w:noWrap w:val="0"/>
            <w:vAlign w:val="center"/>
          </w:tcPr>
          <w:p w14:paraId="35595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7D67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计算机类、电子信息类、自动化类</w:t>
            </w:r>
          </w:p>
          <w:p w14:paraId="054F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计算机科学与技术类、电子科学与技术类、电气工程类</w:t>
            </w:r>
          </w:p>
          <w:p w14:paraId="0F8DE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CE7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本科及以上</w:t>
            </w:r>
          </w:p>
        </w:tc>
        <w:tc>
          <w:tcPr>
            <w:tcW w:w="1096" w:type="dxa"/>
            <w:noWrap w:val="0"/>
            <w:vAlign w:val="center"/>
          </w:tcPr>
          <w:p w14:paraId="28B37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35周岁</w:t>
            </w:r>
          </w:p>
          <w:p w14:paraId="22BD7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4331746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1.熟练使用各类办公软件;具备较强的商务谈判能力和跨部门协调能力；能够通过项目分析实施成本管理与供应商管理;</w:t>
            </w:r>
          </w:p>
          <w:p w14:paraId="43D9176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2.硕士研究生优先;</w:t>
            </w:r>
          </w:p>
          <w:p w14:paraId="1E04E53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3.具有1年及以上采购工作经验（需提供相关佐证材料）。</w:t>
            </w:r>
          </w:p>
        </w:tc>
        <w:tc>
          <w:tcPr>
            <w:tcW w:w="1019" w:type="dxa"/>
            <w:noWrap w:val="0"/>
            <w:vAlign w:val="center"/>
          </w:tcPr>
          <w:p w14:paraId="2FA9C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兴滨海新区滨发大数据科技有限公司</w:t>
            </w:r>
          </w:p>
        </w:tc>
        <w:tc>
          <w:tcPr>
            <w:tcW w:w="1541" w:type="dxa"/>
            <w:noWrap w:val="0"/>
            <w:vAlign w:val="center"/>
          </w:tcPr>
          <w:p w14:paraId="4141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3297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5" w:type="dxa"/>
            <w:noWrap w:val="0"/>
            <w:vAlign w:val="center"/>
          </w:tcPr>
          <w:p w14:paraId="456A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76" w:type="dxa"/>
            <w:noWrap w:val="0"/>
            <w:vAlign w:val="center"/>
          </w:tcPr>
          <w:p w14:paraId="69E330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  <w:t>项目管理岗</w:t>
            </w:r>
          </w:p>
        </w:tc>
        <w:tc>
          <w:tcPr>
            <w:tcW w:w="775" w:type="dxa"/>
            <w:noWrap w:val="0"/>
            <w:vAlign w:val="center"/>
          </w:tcPr>
          <w:p w14:paraId="0A23B1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0669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15FF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计算机类、电子信息类、自动化类</w:t>
            </w:r>
          </w:p>
          <w:p w14:paraId="4FA6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计算机科学与技术类、电子科学与技术类、电气工程类</w:t>
            </w:r>
          </w:p>
          <w:p w14:paraId="727A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51E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本科及以上</w:t>
            </w:r>
          </w:p>
        </w:tc>
        <w:tc>
          <w:tcPr>
            <w:tcW w:w="1096" w:type="dxa"/>
            <w:noWrap w:val="0"/>
            <w:vAlign w:val="center"/>
          </w:tcPr>
          <w:p w14:paraId="22DDF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35周岁</w:t>
            </w:r>
          </w:p>
          <w:p w14:paraId="4377D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58923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1.具有2年及以上计算机网络或弱电智能化相关项目经理管理工作经验（需提供相关佐证材料）;</w:t>
            </w:r>
          </w:p>
          <w:p w14:paraId="2C2E4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2.硕士研究生优先;</w:t>
            </w:r>
          </w:p>
          <w:p w14:paraId="3A6FD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3.熟悉建筑智能化、计算机信息系统集成等领域项目管理，具备项目实施管理能力。</w:t>
            </w:r>
          </w:p>
        </w:tc>
        <w:tc>
          <w:tcPr>
            <w:tcW w:w="1019" w:type="dxa"/>
            <w:noWrap w:val="0"/>
            <w:vAlign w:val="center"/>
          </w:tcPr>
          <w:p w14:paraId="357E3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兴滨海新区滨发大数据科技有限公司</w:t>
            </w:r>
          </w:p>
        </w:tc>
        <w:tc>
          <w:tcPr>
            <w:tcW w:w="1541" w:type="dxa"/>
            <w:noWrap w:val="0"/>
            <w:vAlign w:val="center"/>
          </w:tcPr>
          <w:p w14:paraId="24EC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3A59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5" w:type="dxa"/>
            <w:noWrap w:val="0"/>
            <w:vAlign w:val="center"/>
          </w:tcPr>
          <w:p w14:paraId="1FDA8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76" w:type="dxa"/>
            <w:noWrap w:val="0"/>
            <w:vAlign w:val="center"/>
          </w:tcPr>
          <w:p w14:paraId="60FDBC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  <w:t>技术工程师</w:t>
            </w:r>
          </w:p>
        </w:tc>
        <w:tc>
          <w:tcPr>
            <w:tcW w:w="775" w:type="dxa"/>
            <w:noWrap w:val="0"/>
            <w:vAlign w:val="center"/>
          </w:tcPr>
          <w:p w14:paraId="3637E9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2E7F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计算机类、电子信息类、自动化类</w:t>
            </w:r>
          </w:p>
          <w:p w14:paraId="7EDB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：计算机科学与技术类、电子科学与技术类、电气工程类</w:t>
            </w:r>
          </w:p>
        </w:tc>
        <w:tc>
          <w:tcPr>
            <w:tcW w:w="1311" w:type="dxa"/>
            <w:noWrap w:val="0"/>
            <w:vAlign w:val="center"/>
          </w:tcPr>
          <w:p w14:paraId="264C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本科及以上</w:t>
            </w:r>
          </w:p>
        </w:tc>
        <w:tc>
          <w:tcPr>
            <w:tcW w:w="1096" w:type="dxa"/>
            <w:noWrap w:val="0"/>
            <w:vAlign w:val="center"/>
          </w:tcPr>
          <w:p w14:paraId="2CB7E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35周岁</w:t>
            </w:r>
          </w:p>
          <w:p w14:paraId="389AA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30D6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1.具有2年及以上运维工作经历（需提供相关佐证材料）;</w:t>
            </w:r>
          </w:p>
          <w:p w14:paraId="1A8A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2.硕士研究生优先;</w:t>
            </w:r>
          </w:p>
          <w:p w14:paraId="1DD5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3.熟练掌握至少一门主流语言（如Java、Python、C++、JavaScript等）;熟悉Linux/Windows系统运维，掌握Nginx/MySQL/Oracle等中间件及数据库管理;了解Zabbix/Nagios等监控工具，具备云平台（如AWS、阿里云）维护经验者优先；</w:t>
            </w:r>
          </w:p>
          <w:p w14:paraId="119D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4.持有无人机驾驶证者优先。</w:t>
            </w:r>
          </w:p>
        </w:tc>
        <w:tc>
          <w:tcPr>
            <w:tcW w:w="1019" w:type="dxa"/>
            <w:noWrap w:val="0"/>
            <w:vAlign w:val="center"/>
          </w:tcPr>
          <w:p w14:paraId="3828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兴滨海新区滨发大数据科技有限公司</w:t>
            </w:r>
          </w:p>
        </w:tc>
        <w:tc>
          <w:tcPr>
            <w:tcW w:w="1541" w:type="dxa"/>
            <w:noWrap w:val="0"/>
            <w:vAlign w:val="center"/>
          </w:tcPr>
          <w:p w14:paraId="79D2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13A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5" w:type="dxa"/>
            <w:noWrap w:val="0"/>
            <w:vAlign w:val="center"/>
          </w:tcPr>
          <w:p w14:paraId="2B0F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lang w:val="en-US" w:eastAsia="zh-CN"/>
              </w:rPr>
              <w:t>5</w:t>
            </w:r>
          </w:p>
        </w:tc>
        <w:tc>
          <w:tcPr>
            <w:tcW w:w="876" w:type="dxa"/>
            <w:noWrap w:val="0"/>
            <w:vAlign w:val="center"/>
          </w:tcPr>
          <w:p w14:paraId="49A0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商务招采岗</w:t>
            </w:r>
          </w:p>
        </w:tc>
        <w:tc>
          <w:tcPr>
            <w:tcW w:w="775" w:type="dxa"/>
            <w:noWrap w:val="0"/>
            <w:vAlign w:val="center"/>
          </w:tcPr>
          <w:p w14:paraId="46BA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53E6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：采购管理、商务管理、工商管理、工程管理、土木工程</w:t>
            </w:r>
          </w:p>
          <w:p w14:paraId="199A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采购与供应链管理、工商管理、工程管理、土木工程</w:t>
            </w:r>
          </w:p>
        </w:tc>
        <w:tc>
          <w:tcPr>
            <w:tcW w:w="1311" w:type="dxa"/>
            <w:noWrap w:val="0"/>
            <w:vAlign w:val="center"/>
          </w:tcPr>
          <w:p w14:paraId="206DFA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  <w:lang w:eastAsia="zh-CN"/>
              </w:rPr>
              <w:t>；</w:t>
            </w:r>
          </w:p>
          <w:p w14:paraId="05E4927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</w:rPr>
              <w:t>学士及以上</w:t>
            </w:r>
          </w:p>
        </w:tc>
        <w:tc>
          <w:tcPr>
            <w:tcW w:w="1096" w:type="dxa"/>
            <w:noWrap w:val="0"/>
            <w:vAlign w:val="center"/>
          </w:tcPr>
          <w:p w14:paraId="1D64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40周岁</w:t>
            </w:r>
          </w:p>
          <w:p w14:paraId="4124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0547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1.具有2年及以上工程材料、销售管理、采购管理等工作经验（需提供相关佐证材料）；</w:t>
            </w:r>
          </w:p>
          <w:p w14:paraId="78DE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2.熟悉招投标法律法规及采购流程；</w:t>
            </w:r>
          </w:p>
          <w:p w14:paraId="7C01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3.具有良好的沟通谈判能力和成本意识；</w:t>
            </w:r>
          </w:p>
          <w:p w14:paraId="00D7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4.具有良好的商务确权、结算及决算能力。</w:t>
            </w:r>
          </w:p>
        </w:tc>
        <w:tc>
          <w:tcPr>
            <w:tcW w:w="1019" w:type="dxa"/>
            <w:noWrap w:val="0"/>
            <w:vAlign w:val="center"/>
          </w:tcPr>
          <w:p w14:paraId="634C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绍兴滨海新区滨耀储能有限公司</w:t>
            </w:r>
          </w:p>
        </w:tc>
        <w:tc>
          <w:tcPr>
            <w:tcW w:w="1541" w:type="dxa"/>
            <w:noWrap w:val="0"/>
            <w:vAlign w:val="center"/>
          </w:tcPr>
          <w:p w14:paraId="03CF0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129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05" w:type="dxa"/>
            <w:noWrap w:val="0"/>
            <w:vAlign w:val="center"/>
          </w:tcPr>
          <w:p w14:paraId="0C32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lang w:val="en-US" w:eastAsia="zh-CN"/>
              </w:rPr>
              <w:t>6</w:t>
            </w:r>
          </w:p>
        </w:tc>
        <w:tc>
          <w:tcPr>
            <w:tcW w:w="876" w:type="dxa"/>
            <w:noWrap w:val="0"/>
            <w:vAlign w:val="center"/>
          </w:tcPr>
          <w:p w14:paraId="6D03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财务会计岗</w:t>
            </w:r>
          </w:p>
        </w:tc>
        <w:tc>
          <w:tcPr>
            <w:tcW w:w="775" w:type="dxa"/>
            <w:noWrap w:val="0"/>
            <w:vAlign w:val="center"/>
          </w:tcPr>
          <w:p w14:paraId="1C6F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3C74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会计学、审计学、财务管理、财政学、税务</w:t>
            </w:r>
          </w:p>
          <w:p w14:paraId="6E56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会计学、审计学、财务管理、财政学、税务</w:t>
            </w:r>
          </w:p>
        </w:tc>
        <w:tc>
          <w:tcPr>
            <w:tcW w:w="1311" w:type="dxa"/>
            <w:noWrap w:val="0"/>
            <w:vAlign w:val="center"/>
          </w:tcPr>
          <w:p w14:paraId="000F6D3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  <w:lang w:eastAsia="zh-CN"/>
              </w:rPr>
              <w:t>；</w:t>
            </w:r>
          </w:p>
          <w:p w14:paraId="34974E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</w:rPr>
              <w:t>学士及以上</w:t>
            </w:r>
          </w:p>
        </w:tc>
        <w:tc>
          <w:tcPr>
            <w:tcW w:w="1096" w:type="dxa"/>
            <w:noWrap w:val="0"/>
            <w:vAlign w:val="center"/>
          </w:tcPr>
          <w:p w14:paraId="3531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35周岁</w:t>
            </w:r>
          </w:p>
          <w:p w14:paraId="20A1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292A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1.具有1年及以上会计或相关财务岗位工作经验（需提供相关佐证材料）；</w:t>
            </w:r>
          </w:p>
          <w:p w14:paraId="0A60D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2.熟悉国家财税法规及财务软件操作；</w:t>
            </w:r>
          </w:p>
          <w:p w14:paraId="7533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3.持有中级及以上会计专业技术资格证书者，年龄可放宽至40周岁及以下。</w:t>
            </w:r>
          </w:p>
        </w:tc>
        <w:tc>
          <w:tcPr>
            <w:tcW w:w="1019" w:type="dxa"/>
            <w:noWrap w:val="0"/>
            <w:vAlign w:val="center"/>
          </w:tcPr>
          <w:p w14:paraId="147C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绍兴滨海新区滨耀储能有限公司</w:t>
            </w:r>
          </w:p>
        </w:tc>
        <w:tc>
          <w:tcPr>
            <w:tcW w:w="1541" w:type="dxa"/>
            <w:noWrap w:val="0"/>
            <w:vAlign w:val="center"/>
          </w:tcPr>
          <w:p w14:paraId="3C8C6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E1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5" w:type="dxa"/>
            <w:noWrap w:val="0"/>
            <w:vAlign w:val="center"/>
          </w:tcPr>
          <w:p w14:paraId="5B7B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lang w:val="en-US" w:eastAsia="zh-CN"/>
              </w:rPr>
              <w:t>7</w:t>
            </w:r>
          </w:p>
        </w:tc>
        <w:tc>
          <w:tcPr>
            <w:tcW w:w="876" w:type="dxa"/>
            <w:noWrap w:val="0"/>
            <w:vAlign w:val="center"/>
          </w:tcPr>
          <w:p w14:paraId="6125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机电工程师</w:t>
            </w:r>
          </w:p>
        </w:tc>
        <w:tc>
          <w:tcPr>
            <w:tcW w:w="775" w:type="dxa"/>
            <w:noWrap w:val="0"/>
            <w:vAlign w:val="center"/>
          </w:tcPr>
          <w:p w14:paraId="73E7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30F8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电气类、能源动力类、机械工程</w:t>
            </w:r>
          </w:p>
          <w:p w14:paraId="78A2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电气工程类、动力工程及工程热物理类、控制科学与工程类、机械工程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  <w:woUserID w:val="1"/>
              </w:rPr>
              <w:t>类</w:t>
            </w:r>
          </w:p>
        </w:tc>
        <w:tc>
          <w:tcPr>
            <w:tcW w:w="1311" w:type="dxa"/>
            <w:noWrap w:val="0"/>
            <w:vAlign w:val="center"/>
          </w:tcPr>
          <w:p w14:paraId="118018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  <w:lang w:eastAsia="zh-CN"/>
              </w:rPr>
              <w:t>；</w:t>
            </w:r>
          </w:p>
          <w:p w14:paraId="7AF55A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Cs w:val="21"/>
              </w:rPr>
              <w:t>学士及以上</w:t>
            </w:r>
          </w:p>
        </w:tc>
        <w:tc>
          <w:tcPr>
            <w:tcW w:w="1096" w:type="dxa"/>
            <w:noWrap w:val="0"/>
            <w:vAlign w:val="center"/>
          </w:tcPr>
          <w:p w14:paraId="1EC2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35周岁</w:t>
            </w:r>
          </w:p>
          <w:p w14:paraId="338C0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38D1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0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.具有2年及以上机电设备安装、调试及运维相关工作经验（需提供相关佐证材料）；</w:t>
            </w:r>
          </w:p>
          <w:p w14:paraId="3564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2.持有注册电气工程师、机械工程师等相关资格证书者，年龄可放宽至40周岁及以下。</w:t>
            </w:r>
          </w:p>
        </w:tc>
        <w:tc>
          <w:tcPr>
            <w:tcW w:w="1019" w:type="dxa"/>
            <w:noWrap w:val="0"/>
            <w:vAlign w:val="center"/>
          </w:tcPr>
          <w:p w14:paraId="3591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绍兴滨海新区滨耀储能有限公司</w:t>
            </w:r>
          </w:p>
        </w:tc>
        <w:tc>
          <w:tcPr>
            <w:tcW w:w="1541" w:type="dxa"/>
            <w:noWrap w:val="0"/>
            <w:vAlign w:val="center"/>
          </w:tcPr>
          <w:p w14:paraId="0128B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68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5" w:type="dxa"/>
            <w:noWrap w:val="0"/>
            <w:vAlign w:val="center"/>
          </w:tcPr>
          <w:p w14:paraId="0D9D7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76" w:type="dxa"/>
            <w:noWrap w:val="0"/>
            <w:vAlign w:val="center"/>
          </w:tcPr>
          <w:p w14:paraId="7374C9D6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商务岗</w:t>
            </w:r>
          </w:p>
        </w:tc>
        <w:tc>
          <w:tcPr>
            <w:tcW w:w="775" w:type="dxa"/>
            <w:noWrap w:val="0"/>
            <w:vAlign w:val="center"/>
          </w:tcPr>
          <w:p w14:paraId="64B5FF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3F180B6E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市场营销、销售管理、商务管理、国际商务</w:t>
            </w:r>
          </w:p>
          <w:p w14:paraId="70199D95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采购与供应链管理、电子商务、国际商务、流通经济与管理、市场营销、市场营销管理、市场营销学</w:t>
            </w:r>
          </w:p>
        </w:tc>
        <w:tc>
          <w:tcPr>
            <w:tcW w:w="1311" w:type="dxa"/>
            <w:noWrap w:val="0"/>
            <w:vAlign w:val="center"/>
          </w:tcPr>
          <w:p w14:paraId="712037B3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096" w:type="dxa"/>
            <w:noWrap w:val="0"/>
            <w:vAlign w:val="center"/>
          </w:tcPr>
          <w:p w14:paraId="67A9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35周岁</w:t>
            </w:r>
          </w:p>
          <w:p w14:paraId="2424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630A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1.具有2年及以上工程材料、销售管理、采购管理等工作经验（需提供相关佐证材料）；</w:t>
            </w:r>
          </w:p>
          <w:p w14:paraId="1999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2.了解采购流程，熟悉供应商管理体系；</w:t>
            </w:r>
          </w:p>
          <w:p w14:paraId="7C49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3.有良好的采购、销售谈判能力和协调能力，善于与人交流沟通。</w:t>
            </w:r>
          </w:p>
        </w:tc>
        <w:tc>
          <w:tcPr>
            <w:tcW w:w="1019" w:type="dxa"/>
            <w:noWrap w:val="0"/>
            <w:vAlign w:val="center"/>
          </w:tcPr>
          <w:p w14:paraId="4B97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绍兴滨发绿色建材科技有限公司</w:t>
            </w:r>
          </w:p>
        </w:tc>
        <w:tc>
          <w:tcPr>
            <w:tcW w:w="1541" w:type="dxa"/>
            <w:noWrap w:val="0"/>
            <w:vAlign w:val="center"/>
          </w:tcPr>
          <w:p w14:paraId="74AE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17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5" w:type="dxa"/>
            <w:noWrap w:val="0"/>
            <w:vAlign w:val="center"/>
          </w:tcPr>
          <w:p w14:paraId="3D81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2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76" w:type="dxa"/>
            <w:noWrap w:val="0"/>
            <w:vAlign w:val="center"/>
          </w:tcPr>
          <w:p w14:paraId="21D1C31A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综合岗</w:t>
            </w:r>
          </w:p>
        </w:tc>
        <w:tc>
          <w:tcPr>
            <w:tcW w:w="775" w:type="dxa"/>
            <w:noWrap w:val="0"/>
            <w:vAlign w:val="center"/>
          </w:tcPr>
          <w:p w14:paraId="75C510B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42224A69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：行政管理、汉语言文学、新闻学、传播学、法学类、视觉传达、艺术学理论类</w:t>
            </w:r>
          </w:p>
          <w:p w14:paraId="6B475DDB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汉语言文字学、新闻学、法学类、传播学、行政管理、经济学门类、艺术类门类</w:t>
            </w:r>
          </w:p>
        </w:tc>
        <w:tc>
          <w:tcPr>
            <w:tcW w:w="1311" w:type="dxa"/>
            <w:noWrap w:val="0"/>
            <w:vAlign w:val="center"/>
          </w:tcPr>
          <w:p w14:paraId="3D00E043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本科及以上 </w:t>
            </w:r>
          </w:p>
        </w:tc>
        <w:tc>
          <w:tcPr>
            <w:tcW w:w="1096" w:type="dxa"/>
            <w:noWrap w:val="0"/>
            <w:vAlign w:val="center"/>
          </w:tcPr>
          <w:p w14:paraId="4FDF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35周岁</w:t>
            </w:r>
          </w:p>
          <w:p w14:paraId="7161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7782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1.具有良好的公文写作和综合协调能力；</w:t>
            </w:r>
          </w:p>
          <w:p w14:paraId="06D3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2.熟练掌握office、Photoshop等设计软件及网页制作软件。                                                          </w:t>
            </w:r>
          </w:p>
        </w:tc>
        <w:tc>
          <w:tcPr>
            <w:tcW w:w="1019" w:type="dxa"/>
            <w:noWrap w:val="0"/>
            <w:vAlign w:val="center"/>
          </w:tcPr>
          <w:p w14:paraId="6787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绍兴滨发绿色建材科技有限公司</w:t>
            </w:r>
          </w:p>
        </w:tc>
        <w:tc>
          <w:tcPr>
            <w:tcW w:w="1541" w:type="dxa"/>
            <w:noWrap w:val="0"/>
            <w:vAlign w:val="center"/>
          </w:tcPr>
          <w:p w14:paraId="3DF6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D4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5" w:type="dxa"/>
            <w:noWrap w:val="0"/>
            <w:vAlign w:val="center"/>
          </w:tcPr>
          <w:p w14:paraId="64B95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center"/>
          </w:tcPr>
          <w:p w14:paraId="2F2CD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行政</w:t>
            </w:r>
          </w:p>
          <w:p w14:paraId="08AC7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出纳岗</w:t>
            </w:r>
          </w:p>
        </w:tc>
        <w:tc>
          <w:tcPr>
            <w:tcW w:w="775" w:type="dxa"/>
            <w:noWrap w:val="0"/>
            <w:vAlign w:val="center"/>
          </w:tcPr>
          <w:p w14:paraId="19A29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33C55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行政管理、汉语言文学、新闻学、传播学、人力资源管理、法学类、会计学、会计、财务管理、财务会计与审计</w:t>
            </w:r>
          </w:p>
          <w:p w14:paraId="2C810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行政管理、汉语言文字学、新闻学、传播学、人力资源管理、法学类、会计学、会计、财务管理、财务审计与风险管理</w:t>
            </w:r>
          </w:p>
        </w:tc>
        <w:tc>
          <w:tcPr>
            <w:tcW w:w="1311" w:type="dxa"/>
            <w:noWrap w:val="0"/>
            <w:vAlign w:val="center"/>
          </w:tcPr>
          <w:p w14:paraId="188E6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096" w:type="dxa"/>
            <w:noWrap w:val="0"/>
            <w:vAlign w:val="center"/>
          </w:tcPr>
          <w:p w14:paraId="10302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35周岁</w:t>
            </w:r>
          </w:p>
          <w:p w14:paraId="35FC9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3012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1.具有良好的公文写作和综合协调能力；</w:t>
            </w:r>
          </w:p>
          <w:p w14:paraId="13FE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2.具有1年及以上出纳或相关财务岗位工作经验（需提供相关佐证材料）；</w:t>
            </w:r>
          </w:p>
          <w:p w14:paraId="47F3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3.持有初级及以上会计职称证书；</w:t>
            </w:r>
          </w:p>
          <w:p w14:paraId="5409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4.持有中级会计师及以上职称年龄可放宽至40周岁。</w:t>
            </w:r>
          </w:p>
        </w:tc>
        <w:tc>
          <w:tcPr>
            <w:tcW w:w="1019" w:type="dxa"/>
            <w:noWrap w:val="0"/>
            <w:vAlign w:val="center"/>
          </w:tcPr>
          <w:p w14:paraId="4A5E4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绍兴滨海新区滨发绿城物业服务有限公司</w:t>
            </w:r>
          </w:p>
        </w:tc>
        <w:tc>
          <w:tcPr>
            <w:tcW w:w="1541" w:type="dxa"/>
            <w:noWrap w:val="0"/>
            <w:vAlign w:val="center"/>
          </w:tcPr>
          <w:p w14:paraId="74DB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15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05" w:type="dxa"/>
            <w:noWrap w:val="0"/>
            <w:vAlign w:val="center"/>
          </w:tcPr>
          <w:p w14:paraId="7C1BE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876" w:type="dxa"/>
            <w:noWrap w:val="0"/>
            <w:vAlign w:val="center"/>
          </w:tcPr>
          <w:p w14:paraId="1B6E0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业务</w:t>
            </w:r>
          </w:p>
          <w:p w14:paraId="48C49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综合岗</w:t>
            </w:r>
          </w:p>
        </w:tc>
        <w:tc>
          <w:tcPr>
            <w:tcW w:w="775" w:type="dxa"/>
            <w:noWrap w:val="0"/>
            <w:vAlign w:val="center"/>
          </w:tcPr>
          <w:p w14:paraId="014A0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 w14:paraId="0379B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工程管理、土木工程、行政管理、工商管理类、法学类</w:t>
            </w:r>
          </w:p>
          <w:p w14:paraId="7117A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工程管理、土木工程、行政管理、工商管理类、法学类</w:t>
            </w:r>
          </w:p>
        </w:tc>
        <w:tc>
          <w:tcPr>
            <w:tcW w:w="1311" w:type="dxa"/>
            <w:noWrap w:val="0"/>
            <w:vAlign w:val="center"/>
          </w:tcPr>
          <w:p w14:paraId="68340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096" w:type="dxa"/>
            <w:noWrap w:val="0"/>
            <w:vAlign w:val="center"/>
          </w:tcPr>
          <w:p w14:paraId="28B29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40周岁</w:t>
            </w:r>
          </w:p>
          <w:p w14:paraId="51948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及以下</w:t>
            </w:r>
          </w:p>
        </w:tc>
        <w:tc>
          <w:tcPr>
            <w:tcW w:w="3229" w:type="dxa"/>
            <w:noWrap w:val="0"/>
            <w:vAlign w:val="center"/>
          </w:tcPr>
          <w:p w14:paraId="41CC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1.具有2年及以上物业管理相关工作经验（需提供相关佐证材料）；</w:t>
            </w:r>
          </w:p>
          <w:p w14:paraId="66BF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2.具有良好的综合协调能力、沟通能力。</w:t>
            </w:r>
          </w:p>
        </w:tc>
        <w:tc>
          <w:tcPr>
            <w:tcW w:w="1019" w:type="dxa"/>
            <w:noWrap w:val="0"/>
            <w:vAlign w:val="center"/>
          </w:tcPr>
          <w:p w14:paraId="0CB50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  <w:t>绍兴滨海新区滨发绿城物业服务有限公司</w:t>
            </w:r>
          </w:p>
        </w:tc>
        <w:tc>
          <w:tcPr>
            <w:tcW w:w="1541" w:type="dxa"/>
            <w:noWrap w:val="0"/>
            <w:vAlign w:val="center"/>
          </w:tcPr>
          <w:p w14:paraId="0336E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42F859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359A75-1E7B-4DB0-89C8-4A0CDBC1AC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41AB44-5625-45A4-8F31-5949B539DD56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52CBAF-2960-4CBB-9C28-3FA4CDB7E4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08A0750-08DC-44F9-865D-E8E307F964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03BED4E-8009-4DAC-95E4-DCB6BC2DA6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05B9DE0-0F01-46FD-9036-C18A7C5924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4C10"/>
    <w:rsid w:val="02232ACA"/>
    <w:rsid w:val="07E63CCD"/>
    <w:rsid w:val="0E7D787E"/>
    <w:rsid w:val="12B71181"/>
    <w:rsid w:val="13BC2345"/>
    <w:rsid w:val="13E4763B"/>
    <w:rsid w:val="13E91851"/>
    <w:rsid w:val="18FC2114"/>
    <w:rsid w:val="193B3ABF"/>
    <w:rsid w:val="1FC70282"/>
    <w:rsid w:val="22D60519"/>
    <w:rsid w:val="2C1856FE"/>
    <w:rsid w:val="2D7E6955"/>
    <w:rsid w:val="2FA469C2"/>
    <w:rsid w:val="30E751B4"/>
    <w:rsid w:val="31033252"/>
    <w:rsid w:val="34511DE2"/>
    <w:rsid w:val="354F621A"/>
    <w:rsid w:val="35E00707"/>
    <w:rsid w:val="39A3055B"/>
    <w:rsid w:val="3E786B8F"/>
    <w:rsid w:val="3F93711E"/>
    <w:rsid w:val="40715716"/>
    <w:rsid w:val="419D0EE2"/>
    <w:rsid w:val="42775F1B"/>
    <w:rsid w:val="4E232750"/>
    <w:rsid w:val="50B75F83"/>
    <w:rsid w:val="52E9702A"/>
    <w:rsid w:val="555D3CCC"/>
    <w:rsid w:val="5757438D"/>
    <w:rsid w:val="5D5B2282"/>
    <w:rsid w:val="646352DA"/>
    <w:rsid w:val="6AA7701A"/>
    <w:rsid w:val="6FFC3187"/>
    <w:rsid w:val="77D6514A"/>
    <w:rsid w:val="7C1B7C6D"/>
    <w:rsid w:val="7D23702C"/>
    <w:rsid w:val="F16C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2005</Words>
  <Characters>2132</Characters>
  <Lines>0</Lines>
  <Paragraphs>0</Paragraphs>
  <TotalTime>1</TotalTime>
  <ScaleCrop>false</ScaleCrop>
  <LinksUpToDate>false</LinksUpToDate>
  <CharactersWithSpaces>2199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2025-10-31T22:24:00Z</dcterms:created>
  <dc:creator>Administrator</dc:creator>
  <cp:lastModifiedBy>GCN</cp:lastModifiedBy>
  <cp:lastPrinted>2025-11-19T11:44:00Z</cp:lastPrinted>
  <dcterms:modified xsi:type="dcterms:W3CDTF">2025-11-26T07:59:55Z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eyJoZGlkIjoiMzMzYmRmYzViOTcxN2I4OWY0YTM2YmUwYmVhZGUxNGUiLCJ1c2VySWQiOiI1MDk2NzAxMzcifQ==</vt:lpwstr>
  </property>
  <property fmtid="{D5CDD505-2E9C-101B-9397-08002B2CF9AE}" pid="4" name="ICV">
    <vt:lpwstr>2DDFAE32EC434B49B22CC13F38F90A87_12</vt:lpwstr>
  </property>
</Properties>
</file>