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F2833">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 w:eastAsia="仿宋_GB2312"/>
          <w:b/>
          <w:sz w:val="32"/>
          <w:szCs w:val="28"/>
        </w:rPr>
      </w:pPr>
      <w:r>
        <w:rPr>
          <w:rFonts w:hint="eastAsia" w:ascii="仿宋_GB2312" w:hAnsi="仿宋" w:eastAsia="仿宋_GB2312"/>
          <w:b/>
          <w:sz w:val="32"/>
          <w:szCs w:val="28"/>
        </w:rPr>
        <w:t>附件</w:t>
      </w:r>
    </w:p>
    <w:p w14:paraId="29252B18">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ascii="仿宋_GB2312" w:hAnsi="仿宋" w:eastAsia="仿宋_GB2312"/>
          <w:b/>
          <w:sz w:val="32"/>
          <w:szCs w:val="28"/>
        </w:rPr>
      </w:pPr>
      <w:r>
        <w:rPr>
          <w:rFonts w:hint="eastAsia" w:ascii="仿宋_GB2312" w:hAnsi="仿宋" w:eastAsia="仿宋_GB2312"/>
          <w:b/>
          <w:sz w:val="32"/>
          <w:szCs w:val="28"/>
          <w:lang w:val="en-US" w:eastAsia="zh-CN"/>
        </w:rPr>
        <w:t xml:space="preserve">                                                                                                                                                                                                                                                                                                                                                                                                                                                                                                                                                                                                                                                                                                  </w:t>
      </w:r>
    </w:p>
    <w:p w14:paraId="7AC32CE4">
      <w:pPr>
        <w:keepNext w:val="0"/>
        <w:keepLines w:val="0"/>
        <w:pageBreakBefore w:val="0"/>
        <w:widowControl/>
        <w:kinsoku/>
        <w:wordWrap/>
        <w:overflowPunct/>
        <w:topLinePunct w:val="0"/>
        <w:autoSpaceDE/>
        <w:autoSpaceDN/>
        <w:bidi w:val="0"/>
        <w:adjustRightInd/>
        <w:snapToGrid/>
        <w:spacing w:line="400" w:lineRule="exact"/>
        <w:ind w:firstLine="643" w:firstLineChars="200"/>
        <w:jc w:val="center"/>
        <w:textAlignment w:val="auto"/>
        <w:rPr>
          <w:rFonts w:hint="eastAsia" w:ascii="仿宋_GB2312" w:hAnsi="仿宋" w:eastAsia="仿宋_GB2312"/>
          <w:b/>
          <w:sz w:val="32"/>
          <w:szCs w:val="28"/>
        </w:rPr>
      </w:pPr>
      <w:r>
        <w:rPr>
          <w:rFonts w:hint="eastAsia" w:ascii="仿宋_GB2312" w:hAnsi="仿宋" w:eastAsia="仿宋_GB2312"/>
          <w:b/>
          <w:sz w:val="32"/>
          <w:szCs w:val="28"/>
        </w:rPr>
        <w:t>北京第二外国语学院招聘非事业编制人员岗位</w:t>
      </w:r>
    </w:p>
    <w:p w14:paraId="1815E5EE">
      <w:pPr>
        <w:keepNext w:val="0"/>
        <w:keepLines w:val="0"/>
        <w:pageBreakBefore w:val="0"/>
        <w:widowControl/>
        <w:kinsoku/>
        <w:wordWrap/>
        <w:overflowPunct/>
        <w:topLinePunct w:val="0"/>
        <w:autoSpaceDE/>
        <w:autoSpaceDN/>
        <w:bidi w:val="0"/>
        <w:adjustRightInd/>
        <w:snapToGrid/>
        <w:spacing w:line="400" w:lineRule="exact"/>
        <w:ind w:firstLine="643" w:firstLineChars="200"/>
        <w:jc w:val="center"/>
        <w:textAlignment w:val="auto"/>
        <w:rPr>
          <w:rFonts w:hint="eastAsia" w:ascii="仿宋_GB2312" w:hAnsi="仿宋" w:eastAsia="仿宋_GB2312"/>
          <w:b/>
          <w:sz w:val="32"/>
          <w:szCs w:val="28"/>
        </w:rPr>
      </w:pPr>
    </w:p>
    <w:tbl>
      <w:tblPr>
        <w:tblStyle w:val="6"/>
        <w:tblW w:w="15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955"/>
        <w:gridCol w:w="769"/>
        <w:gridCol w:w="1312"/>
        <w:gridCol w:w="6582"/>
        <w:gridCol w:w="3693"/>
        <w:gridCol w:w="675"/>
        <w:gridCol w:w="1454"/>
      </w:tblGrid>
      <w:tr w14:paraId="6D13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5" w:type="dxa"/>
            <w:shd w:val="clear" w:color="auto" w:fill="auto"/>
            <w:vAlign w:val="center"/>
          </w:tcPr>
          <w:p w14:paraId="5050F29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序号</w:t>
            </w:r>
          </w:p>
        </w:tc>
        <w:tc>
          <w:tcPr>
            <w:tcW w:w="955" w:type="dxa"/>
            <w:shd w:val="clear" w:color="auto" w:fill="auto"/>
            <w:vAlign w:val="center"/>
          </w:tcPr>
          <w:p w14:paraId="4C76CFB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岗位</w:t>
            </w:r>
          </w:p>
        </w:tc>
        <w:tc>
          <w:tcPr>
            <w:tcW w:w="769" w:type="dxa"/>
            <w:shd w:val="clear" w:color="auto" w:fill="auto"/>
            <w:vAlign w:val="center"/>
          </w:tcPr>
          <w:p w14:paraId="44E9B7F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学历学位</w:t>
            </w:r>
          </w:p>
        </w:tc>
        <w:tc>
          <w:tcPr>
            <w:tcW w:w="1312" w:type="dxa"/>
            <w:shd w:val="clear" w:color="auto" w:fill="auto"/>
            <w:vAlign w:val="center"/>
          </w:tcPr>
          <w:p w14:paraId="55446FF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专业方向</w:t>
            </w:r>
          </w:p>
        </w:tc>
        <w:tc>
          <w:tcPr>
            <w:tcW w:w="6582" w:type="dxa"/>
            <w:shd w:val="clear" w:color="auto" w:fill="auto"/>
            <w:vAlign w:val="center"/>
          </w:tcPr>
          <w:p w14:paraId="3D88A87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岗位职责</w:t>
            </w:r>
          </w:p>
        </w:tc>
        <w:tc>
          <w:tcPr>
            <w:tcW w:w="3693" w:type="dxa"/>
            <w:shd w:val="clear" w:color="auto" w:fill="auto"/>
            <w:vAlign w:val="center"/>
          </w:tcPr>
          <w:p w14:paraId="3EB353C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其他要求</w:t>
            </w:r>
          </w:p>
        </w:tc>
        <w:tc>
          <w:tcPr>
            <w:tcW w:w="675" w:type="dxa"/>
            <w:shd w:val="clear" w:color="auto" w:fill="auto"/>
            <w:vAlign w:val="center"/>
          </w:tcPr>
          <w:p w14:paraId="00A24A9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招聘人数</w:t>
            </w:r>
          </w:p>
        </w:tc>
        <w:tc>
          <w:tcPr>
            <w:tcW w:w="1454" w:type="dxa"/>
            <w:vAlign w:val="center"/>
          </w:tcPr>
          <w:p w14:paraId="12CB60C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岗位联系人</w:t>
            </w:r>
          </w:p>
        </w:tc>
      </w:tr>
      <w:tr w14:paraId="68F2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7" w:hRule="atLeast"/>
          <w:jc w:val="center"/>
        </w:trPr>
        <w:tc>
          <w:tcPr>
            <w:tcW w:w="425" w:type="dxa"/>
            <w:shd w:val="clear" w:color="auto" w:fill="auto"/>
            <w:vAlign w:val="center"/>
          </w:tcPr>
          <w:p w14:paraId="10FB0E03">
            <w:pPr>
              <w:widowControl/>
              <w:spacing w:line="360" w:lineRule="exact"/>
              <w:jc w:val="center"/>
              <w:rPr>
                <w:rFonts w:hint="eastAsia" w:ascii="仿宋_GB2312" w:hAnsi="仿宋_GB2312" w:eastAsia="仿宋_GB2312" w:cs="仿宋_GB2312"/>
                <w:color w:val="000000"/>
                <w:kern w:val="0"/>
                <w:sz w:val="21"/>
                <w:szCs w:val="21"/>
                <w:highlight w:val="none"/>
                <w:lang w:val="en-US" w:eastAsia="zh-CN"/>
              </w:rPr>
            </w:pPr>
            <w:bookmarkStart w:id="0" w:name="OLE_LINK21" w:colFirst="4" w:colLast="4"/>
            <w:bookmarkStart w:id="1" w:name="OLE_LINK19" w:colFirst="4" w:colLast="4"/>
            <w:bookmarkStart w:id="2" w:name="OLE_LINK18" w:colFirst="5" w:colLast="5"/>
            <w:r>
              <w:rPr>
                <w:rFonts w:hint="eastAsia" w:ascii="仿宋_GB2312" w:hAnsi="仿宋_GB2312" w:eastAsia="仿宋_GB2312" w:cs="仿宋_GB2312"/>
                <w:color w:val="000000"/>
                <w:kern w:val="0"/>
                <w:sz w:val="21"/>
                <w:szCs w:val="21"/>
                <w:highlight w:val="none"/>
                <w:lang w:val="en-US" w:eastAsia="zh-CN"/>
              </w:rPr>
              <w:t>1</w:t>
            </w:r>
          </w:p>
        </w:tc>
        <w:tc>
          <w:tcPr>
            <w:tcW w:w="955" w:type="dxa"/>
            <w:shd w:val="clear" w:color="auto" w:fill="auto"/>
            <w:vAlign w:val="center"/>
          </w:tcPr>
          <w:p w14:paraId="202F836D">
            <w:pPr>
              <w:numPr>
                <w:ilvl w:val="0"/>
                <w:numId w:val="0"/>
              </w:numPr>
              <w:ind w:left="0" w:leftChars="0" w:firstLine="0" w:firstLineChars="0"/>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就业市场建设岗</w:t>
            </w:r>
          </w:p>
        </w:tc>
        <w:tc>
          <w:tcPr>
            <w:tcW w:w="769" w:type="dxa"/>
            <w:shd w:val="clear" w:color="auto" w:fill="auto"/>
            <w:vAlign w:val="center"/>
          </w:tcPr>
          <w:p w14:paraId="193555C8">
            <w:pPr>
              <w:numPr>
                <w:ilvl w:val="0"/>
                <w:numId w:val="0"/>
              </w:numPr>
              <w:ind w:left="0" w:leftChars="0" w:firstLine="0" w:firstLineChars="0"/>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本科及以上学历</w:t>
            </w:r>
          </w:p>
        </w:tc>
        <w:tc>
          <w:tcPr>
            <w:tcW w:w="1312" w:type="dxa"/>
            <w:shd w:val="clear" w:color="auto" w:fill="auto"/>
            <w:vAlign w:val="center"/>
          </w:tcPr>
          <w:p w14:paraId="1C88B6F3">
            <w:pPr>
              <w:numPr>
                <w:ilvl w:val="0"/>
                <w:numId w:val="0"/>
              </w:numPr>
              <w:ind w:left="0" w:leftChars="0" w:firstLine="0" w:firstLineChars="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工商管理、人力资源管理、公共管理、教育学、社会学等专业优先</w:t>
            </w:r>
          </w:p>
        </w:tc>
        <w:tc>
          <w:tcPr>
            <w:tcW w:w="6582" w:type="dxa"/>
            <w:shd w:val="clear" w:color="auto" w:fill="auto"/>
            <w:vAlign w:val="center"/>
          </w:tcPr>
          <w:p w14:paraId="28CD5919">
            <w:pPr>
              <w:numPr>
                <w:ilvl w:val="0"/>
                <w:numId w:val="0"/>
              </w:numPr>
              <w:ind w:left="0" w:leftChars="0" w:firstLine="0" w:firstLineChars="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1.组织、实施校园招聘会、宣讲会；</w:t>
            </w:r>
          </w:p>
          <w:p w14:paraId="1572C2C2">
            <w:pPr>
              <w:numPr>
                <w:ilvl w:val="0"/>
                <w:numId w:val="0"/>
              </w:numPr>
              <w:ind w:left="0" w:leftChars="0" w:firstLine="0" w:firstLineChars="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2.统筹访企拓岗工作，开发企业就业资源，对接公共部门就业资源，拓展区域和行业就业资源；</w:t>
            </w:r>
          </w:p>
          <w:p w14:paraId="109CA9FB">
            <w:pPr>
              <w:numPr>
                <w:ilvl w:val="0"/>
                <w:numId w:val="0"/>
              </w:numPr>
              <w:ind w:left="0" w:leftChars="0" w:firstLine="0" w:firstLineChars="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3.存量合作单位维护，定期回访已合作用人单位，建立“用人单位分级档案”；</w:t>
            </w:r>
          </w:p>
          <w:p w14:paraId="37BA00D2">
            <w:pPr>
              <w:numPr>
                <w:ilvl w:val="0"/>
                <w:numId w:val="0"/>
              </w:numPr>
              <w:ind w:left="0" w:leftChars="0" w:firstLine="0" w:firstLineChars="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4.深化校企、校地合作，建设就业实习基地；</w:t>
            </w:r>
          </w:p>
          <w:p w14:paraId="11552827">
            <w:pPr>
              <w:numPr>
                <w:ilvl w:val="0"/>
                <w:numId w:val="0"/>
              </w:numPr>
              <w:ind w:left="0" w:leftChars="0" w:firstLine="0" w:firstLineChars="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5.完成领导交办的其他工作任务。</w:t>
            </w:r>
          </w:p>
        </w:tc>
        <w:tc>
          <w:tcPr>
            <w:tcW w:w="3693" w:type="dxa"/>
            <w:shd w:val="clear" w:color="auto" w:fill="auto"/>
            <w:vAlign w:val="center"/>
          </w:tcPr>
          <w:p w14:paraId="2C3F8EBB">
            <w:pPr>
              <w:numPr>
                <w:ilvl w:val="0"/>
                <w:numId w:val="0"/>
              </w:numPr>
              <w:ind w:left="0" w:leftChars="0" w:firstLine="0" w:firstLineChars="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 xml:space="preserve">1. 中共党员优先； </w:t>
            </w:r>
          </w:p>
          <w:p w14:paraId="01A74622">
            <w:pPr>
              <w:numPr>
                <w:ilvl w:val="0"/>
                <w:numId w:val="0"/>
              </w:numPr>
              <w:ind w:left="0" w:leftChars="0" w:firstLine="0" w:firstLineChars="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 xml:space="preserve">2. 具备1-3年以上就业市场开发、校企合作或人力资源相关工作经验、熟悉高校就业工作流程者优先； </w:t>
            </w:r>
          </w:p>
          <w:p w14:paraId="3287B2EF">
            <w:pPr>
              <w:numPr>
                <w:ilvl w:val="0"/>
                <w:numId w:val="0"/>
              </w:numPr>
              <w:ind w:left="0" w:leftChars="0" w:firstLine="0" w:firstLineChars="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 xml:space="preserve">3. 擅长企业资源拓展与维护，能独立对接用人单位搭建就业合作渠道；具备活动策划执行能力，可组织招聘会、企业宣讲会等活动；有良好的沟通协调及文案撰写功底； </w:t>
            </w:r>
          </w:p>
          <w:p w14:paraId="3852B578">
            <w:pPr>
              <w:numPr>
                <w:ilvl w:val="0"/>
                <w:numId w:val="0"/>
              </w:numPr>
              <w:ind w:left="0" w:leftChars="0" w:firstLine="0" w:firstLineChars="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 认同高校教育理念，责任心强、抗压能力强；熟练使用各类办公软件，熟练运用SPSS、STATA等数据统计分析软件，具备数据分析或新媒体运营基础。</w:t>
            </w:r>
          </w:p>
        </w:tc>
        <w:tc>
          <w:tcPr>
            <w:tcW w:w="675" w:type="dxa"/>
            <w:shd w:val="clear" w:color="auto" w:fill="auto"/>
            <w:vAlign w:val="center"/>
          </w:tcPr>
          <w:p w14:paraId="4A0AE6DE">
            <w:pPr>
              <w:widowControl/>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1454" w:type="dxa"/>
            <w:vAlign w:val="center"/>
          </w:tcPr>
          <w:p w14:paraId="44098648">
            <w:pPr>
              <w:numPr>
                <w:ilvl w:val="0"/>
                <w:numId w:val="0"/>
              </w:numPr>
              <w:ind w:left="0" w:leftChars="0" w:firstLine="0" w:firstLineChars="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color w:val="000000"/>
                <w:kern w:val="0"/>
                <w:sz w:val="21"/>
                <w:szCs w:val="21"/>
                <w:highlight w:val="none"/>
                <w:lang w:val="en-US" w:eastAsia="zh-CN"/>
              </w:rPr>
              <w:t>董老师，邮箱：jiuye@bisu.edu.cn</w:t>
            </w:r>
          </w:p>
        </w:tc>
      </w:tr>
      <w:tr w14:paraId="2969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jc w:val="center"/>
        </w:trPr>
        <w:tc>
          <w:tcPr>
            <w:tcW w:w="425" w:type="dxa"/>
            <w:shd w:val="clear" w:color="auto" w:fill="auto"/>
            <w:vAlign w:val="center"/>
          </w:tcPr>
          <w:p w14:paraId="00E58086">
            <w:pPr>
              <w:widowControl/>
              <w:spacing w:line="360" w:lineRule="exact"/>
              <w:jc w:val="center"/>
              <w:rPr>
                <w:rFonts w:hint="eastAsia" w:ascii="仿宋_GB2312" w:hAnsi="仿宋_GB2312" w:eastAsia="仿宋_GB2312" w:cs="仿宋_GB2312"/>
                <w:color w:val="000000"/>
                <w:kern w:val="0"/>
                <w:sz w:val="21"/>
                <w:szCs w:val="21"/>
                <w:lang w:val="en-US" w:eastAsia="zh-CN"/>
              </w:rPr>
            </w:pPr>
            <w:bookmarkStart w:id="3" w:name="OLE_LINK23" w:colFirst="4" w:colLast="4"/>
            <w:r>
              <w:rPr>
                <w:rFonts w:hint="eastAsia" w:ascii="仿宋_GB2312" w:hAnsi="仿宋_GB2312" w:eastAsia="仿宋_GB2312" w:cs="仿宋_GB2312"/>
                <w:color w:val="000000"/>
                <w:kern w:val="0"/>
                <w:sz w:val="21"/>
                <w:szCs w:val="21"/>
                <w:lang w:val="en-US" w:eastAsia="zh-CN"/>
              </w:rPr>
              <w:t>2</w:t>
            </w:r>
          </w:p>
        </w:tc>
        <w:tc>
          <w:tcPr>
            <w:tcW w:w="955" w:type="dxa"/>
            <w:shd w:val="clear" w:color="auto" w:fill="auto"/>
            <w:vAlign w:val="center"/>
          </w:tcPr>
          <w:p w14:paraId="474BF3FE">
            <w:pPr>
              <w:numPr>
                <w:ilvl w:val="0"/>
                <w:numId w:val="0"/>
              </w:numPr>
              <w:ind w:left="0" w:leftChars="0" w:firstLine="0" w:firstLineChars="0"/>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管理培训岗</w:t>
            </w:r>
          </w:p>
        </w:tc>
        <w:tc>
          <w:tcPr>
            <w:tcW w:w="769" w:type="dxa"/>
            <w:shd w:val="clear" w:color="auto" w:fill="auto"/>
            <w:vAlign w:val="center"/>
          </w:tcPr>
          <w:p w14:paraId="22C8A696">
            <w:pPr>
              <w:numPr>
                <w:ilvl w:val="0"/>
                <w:numId w:val="0"/>
              </w:numPr>
              <w:ind w:left="0" w:leftChars="0" w:firstLine="0" w:firstLineChars="0"/>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本科及以上学历</w:t>
            </w:r>
          </w:p>
        </w:tc>
        <w:tc>
          <w:tcPr>
            <w:tcW w:w="1312" w:type="dxa"/>
            <w:shd w:val="clear" w:color="auto" w:fill="auto"/>
            <w:vAlign w:val="center"/>
          </w:tcPr>
          <w:p w14:paraId="78F13A63">
            <w:pPr>
              <w:numPr>
                <w:ilvl w:val="0"/>
                <w:numId w:val="0"/>
              </w:numPr>
              <w:ind w:left="0" w:leftChars="0" w:firstLine="0" w:firstLineChars="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阿拉伯语、文化或旅游类相关专业</w:t>
            </w:r>
          </w:p>
        </w:tc>
        <w:tc>
          <w:tcPr>
            <w:tcW w:w="6582" w:type="dxa"/>
            <w:shd w:val="clear" w:color="auto" w:fill="auto"/>
            <w:vAlign w:val="center"/>
          </w:tcPr>
          <w:p w14:paraId="03B443AD">
            <w:pPr>
              <w:numPr>
                <w:ilvl w:val="0"/>
                <w:numId w:val="0"/>
              </w:numPr>
              <w:ind w:left="0" w:leftChars="0" w:firstLine="0" w:firstLineChars="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协助部门开展科研管理、行政管理、教育培训等工作。包括但不限于：</w:t>
            </w:r>
          </w:p>
          <w:p w14:paraId="3E24B9FB">
            <w:pPr>
              <w:numPr>
                <w:ilvl w:val="0"/>
                <w:numId w:val="0"/>
              </w:numPr>
              <w:ind w:left="0" w:leftChars="0" w:firstLine="0" w:firstLineChars="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1.协助部门做好科研、教学、行政等管理工作；</w:t>
            </w:r>
          </w:p>
          <w:p w14:paraId="4A34D667">
            <w:pPr>
              <w:numPr>
                <w:ilvl w:val="0"/>
                <w:numId w:val="0"/>
              </w:numPr>
              <w:ind w:left="0" w:leftChars="0" w:firstLine="0" w:firstLineChars="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2.协助部门做好阿拉伯国家来华留学生招生和培养工作；</w:t>
            </w:r>
          </w:p>
          <w:p w14:paraId="608FC26E">
            <w:pPr>
              <w:numPr>
                <w:ilvl w:val="0"/>
                <w:numId w:val="0"/>
              </w:numPr>
              <w:ind w:left="0" w:leftChars="0" w:firstLine="0" w:firstLineChars="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3.协助部门做好中、阿学生管理工作；</w:t>
            </w:r>
          </w:p>
          <w:p w14:paraId="014AD0C3">
            <w:pPr>
              <w:numPr>
                <w:ilvl w:val="0"/>
                <w:numId w:val="0"/>
              </w:numPr>
              <w:ind w:left="0" w:leftChars="0" w:firstLine="0" w:firstLineChars="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 xml:space="preserve">4.协助部门承办研修培训等项目工作； </w:t>
            </w:r>
          </w:p>
          <w:p w14:paraId="1A42185E">
            <w:pPr>
              <w:numPr>
                <w:ilvl w:val="0"/>
                <w:numId w:val="0"/>
              </w:numPr>
              <w:ind w:left="0" w:leftChars="0" w:firstLine="0" w:firstLineChars="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5.协助部门做好公众号、网站等日常宣传工作；</w:t>
            </w:r>
          </w:p>
          <w:p w14:paraId="7D1C97AC">
            <w:pPr>
              <w:numPr>
                <w:ilvl w:val="0"/>
                <w:numId w:val="0"/>
              </w:numPr>
              <w:ind w:left="0" w:leftChars="0" w:firstLine="0" w:firstLineChars="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6.完成部门领导安排的其他工作。</w:t>
            </w:r>
          </w:p>
        </w:tc>
        <w:tc>
          <w:tcPr>
            <w:tcW w:w="3693" w:type="dxa"/>
            <w:shd w:val="clear" w:color="auto" w:fill="auto"/>
            <w:vAlign w:val="center"/>
          </w:tcPr>
          <w:p w14:paraId="6A41C535">
            <w:pPr>
              <w:numPr>
                <w:ilvl w:val="0"/>
                <w:numId w:val="0"/>
              </w:numPr>
              <w:ind w:left="0" w:leftChars="0" w:firstLine="0" w:firstLineChars="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工作积极主动，责任心强，具备较强的文字功底、沟通表达能力，具有一定的组织协调能力，能够配合完成本部门内的其他任务。</w:t>
            </w:r>
          </w:p>
        </w:tc>
        <w:tc>
          <w:tcPr>
            <w:tcW w:w="675" w:type="dxa"/>
            <w:shd w:val="clear" w:color="auto" w:fill="auto"/>
            <w:vAlign w:val="center"/>
          </w:tcPr>
          <w:p w14:paraId="47461E40">
            <w:pPr>
              <w:numPr>
                <w:ilvl w:val="0"/>
                <w:numId w:val="0"/>
              </w:numPr>
              <w:ind w:left="0" w:leftChars="0" w:firstLine="0" w:firstLineChars="0"/>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1454" w:type="dxa"/>
            <w:vAlign w:val="center"/>
          </w:tcPr>
          <w:p w14:paraId="11F65417">
            <w:pPr>
              <w:numPr>
                <w:ilvl w:val="0"/>
                <w:numId w:val="0"/>
              </w:numPr>
              <w:ind w:left="0" w:leftChars="0" w:firstLine="0" w:firstLineChars="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张老师，邮箱：ccctc@bisu.edu.cn</w:t>
            </w:r>
          </w:p>
          <w:p w14:paraId="36A21E96">
            <w:pPr>
              <w:numPr>
                <w:ilvl w:val="0"/>
                <w:numId w:val="0"/>
              </w:numPr>
              <w:ind w:left="0" w:leftChars="0" w:firstLine="0" w:firstLineChars="0"/>
              <w:jc w:val="left"/>
              <w:rPr>
                <w:rFonts w:hint="eastAsia" w:ascii="仿宋_GB2312" w:hAnsi="仿宋_GB2312" w:eastAsia="仿宋_GB2312" w:cs="仿宋_GB2312"/>
                <w:sz w:val="21"/>
                <w:szCs w:val="21"/>
                <w:highlight w:val="none"/>
                <w:lang w:val="en-US" w:eastAsia="zh-CN"/>
              </w:rPr>
            </w:pPr>
          </w:p>
          <w:p w14:paraId="0D4545E3">
            <w:pPr>
              <w:numPr>
                <w:ilvl w:val="0"/>
                <w:numId w:val="0"/>
              </w:numPr>
              <w:ind w:left="0" w:leftChars="0" w:firstLine="0" w:firstLineChars="0"/>
              <w:jc w:val="left"/>
              <w:rPr>
                <w:rFonts w:hint="eastAsia" w:ascii="仿宋_GB2312" w:hAnsi="仿宋_GB2312" w:eastAsia="仿宋_GB2312" w:cs="仿宋_GB2312"/>
                <w:sz w:val="21"/>
                <w:szCs w:val="21"/>
                <w:highlight w:val="none"/>
                <w:lang w:val="en-US" w:eastAsia="zh-CN"/>
              </w:rPr>
            </w:pPr>
          </w:p>
        </w:tc>
      </w:tr>
      <w:bookmarkEnd w:id="0"/>
      <w:tr w14:paraId="6747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8" w:hRule="atLeast"/>
          <w:jc w:val="center"/>
        </w:trPr>
        <w:tc>
          <w:tcPr>
            <w:tcW w:w="425" w:type="dxa"/>
            <w:shd w:val="clear" w:color="auto" w:fill="auto"/>
            <w:vAlign w:val="center"/>
          </w:tcPr>
          <w:p w14:paraId="4AD33152">
            <w:pPr>
              <w:widowControl/>
              <w:spacing w:line="36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w:t>
            </w:r>
          </w:p>
        </w:tc>
        <w:tc>
          <w:tcPr>
            <w:tcW w:w="955" w:type="dxa"/>
            <w:shd w:val="clear" w:color="auto" w:fill="auto"/>
            <w:vAlign w:val="center"/>
          </w:tcPr>
          <w:p w14:paraId="09448D84">
            <w:pPr>
              <w:numPr>
                <w:ilvl w:val="0"/>
                <w:numId w:val="0"/>
              </w:numPr>
              <w:ind w:left="0" w:leftChars="0" w:firstLine="0" w:firstLineChars="0"/>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color w:val="000000"/>
                <w:kern w:val="0"/>
                <w:sz w:val="21"/>
                <w:szCs w:val="21"/>
                <w:lang w:val="en-US" w:eastAsia="zh-CN"/>
              </w:rPr>
              <w:t>电力保障岗</w:t>
            </w:r>
          </w:p>
        </w:tc>
        <w:tc>
          <w:tcPr>
            <w:tcW w:w="769" w:type="dxa"/>
            <w:shd w:val="clear" w:color="auto" w:fill="auto"/>
            <w:vAlign w:val="center"/>
          </w:tcPr>
          <w:p w14:paraId="38034287">
            <w:pPr>
              <w:numPr>
                <w:ilvl w:val="0"/>
                <w:numId w:val="0"/>
              </w:numPr>
              <w:ind w:left="0" w:leftChars="0" w:firstLine="0" w:firstLineChars="0"/>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lang w:val="en-US" w:eastAsia="zh-CN"/>
              </w:rPr>
              <w:t>本科及以上</w:t>
            </w:r>
            <w:r>
              <w:rPr>
                <w:rFonts w:hint="eastAsia" w:ascii="仿宋_GB2312" w:hAnsi="仿宋_GB2312" w:eastAsia="仿宋_GB2312" w:cs="仿宋_GB2312"/>
                <w:sz w:val="21"/>
                <w:szCs w:val="21"/>
                <w:highlight w:val="none"/>
                <w:lang w:val="en-US" w:eastAsia="zh-CN"/>
              </w:rPr>
              <w:t>学历</w:t>
            </w:r>
          </w:p>
        </w:tc>
        <w:tc>
          <w:tcPr>
            <w:tcW w:w="1312" w:type="dxa"/>
            <w:shd w:val="clear" w:color="auto" w:fill="auto"/>
            <w:vAlign w:val="center"/>
          </w:tcPr>
          <w:p w14:paraId="45CCFD7E">
            <w:pPr>
              <w:numPr>
                <w:ilvl w:val="0"/>
                <w:numId w:val="0"/>
              </w:numPr>
              <w:ind w:left="0" w:leftChars="0" w:firstLine="0" w:firstLineChars="0"/>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color w:val="000000"/>
                <w:kern w:val="0"/>
                <w:sz w:val="21"/>
                <w:szCs w:val="21"/>
              </w:rPr>
              <w:t>电力系统及其自动化、电气工程及其自动化、供用电技术等相关专业优先</w:t>
            </w:r>
          </w:p>
        </w:tc>
        <w:tc>
          <w:tcPr>
            <w:tcW w:w="6582" w:type="dxa"/>
            <w:shd w:val="clear" w:color="auto" w:fill="auto"/>
            <w:vAlign w:val="center"/>
          </w:tcPr>
          <w:p w14:paraId="15661DB0">
            <w:pPr>
              <w:keepNext w:val="0"/>
              <w:keepLines w:val="0"/>
              <w:pageBreakBefore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1.负责全校电力网及设施维护检修及各单位公共用电设施的维修统筹管理工作</w:t>
            </w:r>
            <w:r>
              <w:rPr>
                <w:rFonts w:hint="eastAsia" w:ascii="仿宋_GB2312" w:hAnsi="仿宋_GB2312" w:eastAsia="仿宋_GB2312" w:cs="仿宋_GB2312"/>
                <w:sz w:val="21"/>
                <w:szCs w:val="21"/>
                <w:lang w:eastAsia="zh-CN"/>
              </w:rPr>
              <w:t>；</w:t>
            </w:r>
          </w:p>
          <w:p w14:paraId="52DBA347">
            <w:pPr>
              <w:keepNext w:val="0"/>
              <w:keepLines w:val="0"/>
              <w:pageBreakBefore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2.做好维修记录、派工单、月统计、值班及考勤等工作，配合主任落实岗位职责</w:t>
            </w:r>
            <w:r>
              <w:rPr>
                <w:rFonts w:hint="eastAsia" w:ascii="仿宋_GB2312" w:hAnsi="仿宋_GB2312" w:eastAsia="仿宋_GB2312" w:cs="仿宋_GB2312"/>
                <w:sz w:val="21"/>
                <w:szCs w:val="21"/>
                <w:lang w:eastAsia="zh-CN"/>
              </w:rPr>
              <w:t>；</w:t>
            </w:r>
          </w:p>
          <w:p w14:paraId="27560968">
            <w:pPr>
              <w:keepNext w:val="0"/>
              <w:keepLines w:val="0"/>
              <w:pageBreakBefore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3.保障维修工程质量，做好安全生产、防火防盗，承担后勤基建单项工程施工与监督</w:t>
            </w:r>
            <w:r>
              <w:rPr>
                <w:rFonts w:hint="eastAsia" w:ascii="仿宋_GB2312" w:hAnsi="仿宋_GB2312" w:eastAsia="仿宋_GB2312" w:cs="仿宋_GB2312"/>
                <w:sz w:val="21"/>
                <w:szCs w:val="21"/>
                <w:lang w:eastAsia="zh-CN"/>
              </w:rPr>
              <w:t>；</w:t>
            </w:r>
          </w:p>
          <w:p w14:paraId="0A605D3B">
            <w:pPr>
              <w:keepNext w:val="0"/>
              <w:keepLines w:val="0"/>
              <w:pageBreakBefore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4.负责材料申领，掌握班组领料情况，节约用料</w:t>
            </w:r>
            <w:r>
              <w:rPr>
                <w:rFonts w:hint="eastAsia" w:ascii="仿宋_GB2312" w:hAnsi="仿宋_GB2312" w:eastAsia="仿宋_GB2312" w:cs="仿宋_GB2312"/>
                <w:sz w:val="21"/>
                <w:szCs w:val="21"/>
                <w:lang w:eastAsia="zh-CN"/>
              </w:rPr>
              <w:t>；</w:t>
            </w:r>
          </w:p>
          <w:p w14:paraId="6C39F30F">
            <w:pPr>
              <w:keepNext w:val="0"/>
              <w:keepLines w:val="0"/>
              <w:pageBreakBefore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5.监督班组人员统一着装、挂牌服务、文明维修，落实安全生产</w:t>
            </w:r>
            <w:r>
              <w:rPr>
                <w:rFonts w:hint="eastAsia" w:ascii="仿宋_GB2312" w:hAnsi="仿宋_GB2312" w:eastAsia="仿宋_GB2312" w:cs="仿宋_GB2312"/>
                <w:sz w:val="21"/>
                <w:szCs w:val="21"/>
                <w:lang w:eastAsia="zh-CN"/>
              </w:rPr>
              <w:t>；</w:t>
            </w:r>
          </w:p>
          <w:p w14:paraId="159F629B">
            <w:pPr>
              <w:keepNext w:val="0"/>
              <w:keepLines w:val="0"/>
              <w:pageBreakBefore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6.建立季节巡查检修制度，处理事故隐患，制定反事故预案，备齐备品备件与工具</w:t>
            </w:r>
            <w:r>
              <w:rPr>
                <w:rFonts w:hint="eastAsia" w:ascii="仿宋_GB2312" w:hAnsi="仿宋_GB2312" w:eastAsia="仿宋_GB2312" w:cs="仿宋_GB2312"/>
                <w:sz w:val="21"/>
                <w:szCs w:val="21"/>
                <w:lang w:eastAsia="zh-CN"/>
              </w:rPr>
              <w:t>；</w:t>
            </w:r>
          </w:p>
          <w:p w14:paraId="1F777825">
            <w:pPr>
              <w:keepNext w:val="0"/>
              <w:keepLines w:val="0"/>
              <w:pageBreakBefore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7.设立24小时值班报修电话，及时处理大小维修，遵守规章制度，协助迎检</w:t>
            </w:r>
            <w:r>
              <w:rPr>
                <w:rFonts w:hint="eastAsia" w:ascii="仿宋_GB2312" w:hAnsi="仿宋_GB2312" w:eastAsia="仿宋_GB2312" w:cs="仿宋_GB2312"/>
                <w:sz w:val="21"/>
                <w:szCs w:val="21"/>
                <w:lang w:eastAsia="zh-CN"/>
              </w:rPr>
              <w:t>；</w:t>
            </w:r>
          </w:p>
          <w:p w14:paraId="7246D300">
            <w:pPr>
              <w:keepNext w:val="0"/>
              <w:keepLines w:val="0"/>
              <w:pageBreakBefore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rPr>
              <w:t>8.严格执行质量考核标准，完成领导交办的其他工作。</w:t>
            </w:r>
          </w:p>
        </w:tc>
        <w:tc>
          <w:tcPr>
            <w:tcW w:w="3693" w:type="dxa"/>
            <w:shd w:val="clear" w:color="auto" w:fill="auto"/>
            <w:vAlign w:val="center"/>
          </w:tcPr>
          <w:p w14:paraId="5E096235">
            <w:pPr>
              <w:keepNext w:val="0"/>
              <w:keepLines w:val="0"/>
              <w:pageBreakBefore w:val="0"/>
              <w:widowControl/>
              <w:tabs>
                <w:tab w:val="left" w:pos="312"/>
              </w:tabs>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lang w:eastAsia="zh-CN"/>
              </w:rPr>
            </w:pPr>
            <w:r>
              <w:rPr>
                <w:rFonts w:hint="eastAsia" w:ascii="仿宋_GB2312" w:hAnsi="仿宋_GB2312" w:eastAsia="仿宋_GB2312" w:cs="仿宋_GB2312"/>
              </w:rPr>
              <w:t>1.持高压电工证书，有3 - 5年电力行业工作经验，1 - 2年以上班组管理经验</w:t>
            </w:r>
            <w:r>
              <w:rPr>
                <w:rFonts w:hint="eastAsia" w:ascii="仿宋_GB2312" w:hAnsi="仿宋_GB2312" w:eastAsia="仿宋_GB2312" w:cs="仿宋_GB2312"/>
                <w:lang w:eastAsia="zh-CN"/>
              </w:rPr>
              <w:t>；</w:t>
            </w:r>
          </w:p>
          <w:p w14:paraId="3F04E9ED">
            <w:pPr>
              <w:keepNext w:val="0"/>
              <w:keepLines w:val="0"/>
              <w:pageBreakBefore w:val="0"/>
              <w:widowControl/>
              <w:tabs>
                <w:tab w:val="left" w:pos="312"/>
              </w:tabs>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lang w:eastAsia="zh-CN"/>
              </w:rPr>
            </w:pPr>
            <w:r>
              <w:rPr>
                <w:rFonts w:hint="eastAsia" w:ascii="仿宋_GB2312" w:hAnsi="仿宋_GB2312" w:eastAsia="仿宋_GB2312" w:cs="仿宋_GB2312"/>
              </w:rPr>
              <w:t>2.熟悉电力系统，应急预案</w:t>
            </w:r>
            <w:r>
              <w:rPr>
                <w:rFonts w:hint="eastAsia" w:ascii="仿宋_GB2312" w:hAnsi="仿宋_GB2312" w:eastAsia="仿宋_GB2312" w:cs="仿宋_GB2312"/>
                <w:lang w:eastAsia="zh-CN"/>
              </w:rPr>
              <w:t>，</w:t>
            </w:r>
            <w:r>
              <w:rPr>
                <w:rFonts w:hint="eastAsia" w:ascii="仿宋_GB2312" w:hAnsi="仿宋_GB2312" w:eastAsia="仿宋_GB2312" w:cs="仿宋_GB2312"/>
              </w:rPr>
              <w:t>有较强的故障诊断处理能力，掌握电气设备维保技术</w:t>
            </w:r>
            <w:r>
              <w:rPr>
                <w:rFonts w:hint="eastAsia" w:ascii="仿宋_GB2312" w:hAnsi="仿宋_GB2312" w:eastAsia="仿宋_GB2312" w:cs="仿宋_GB2312"/>
                <w:lang w:eastAsia="zh-CN"/>
              </w:rPr>
              <w:t>；</w:t>
            </w:r>
          </w:p>
          <w:p w14:paraId="3B038E92">
            <w:pPr>
              <w:numPr>
                <w:ilvl w:val="0"/>
                <w:numId w:val="0"/>
              </w:numPr>
              <w:ind w:left="0" w:leftChars="0" w:firstLine="0" w:firstLineChars="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rPr>
              <w:t>3.具备良好</w:t>
            </w:r>
            <w:r>
              <w:rPr>
                <w:rFonts w:hint="eastAsia" w:ascii="仿宋_GB2312" w:hAnsi="仿宋_GB2312" w:eastAsia="仿宋_GB2312" w:cs="仿宋_GB2312"/>
                <w:lang w:val="en-US" w:eastAsia="zh-CN"/>
              </w:rPr>
              <w:t>的</w:t>
            </w:r>
            <w:r>
              <w:rPr>
                <w:rFonts w:hint="eastAsia" w:ascii="仿宋_GB2312" w:hAnsi="仿宋_GB2312" w:eastAsia="仿宋_GB2312" w:cs="仿宋_GB2312"/>
              </w:rPr>
              <w:t>沟通协调能力</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责任心强</w:t>
            </w:r>
            <w:r>
              <w:rPr>
                <w:rFonts w:hint="eastAsia" w:ascii="仿宋_GB2312" w:hAnsi="仿宋_GB2312" w:eastAsia="仿宋_GB2312" w:cs="仿宋_GB2312"/>
              </w:rPr>
              <w:t>。</w:t>
            </w:r>
          </w:p>
        </w:tc>
        <w:tc>
          <w:tcPr>
            <w:tcW w:w="675" w:type="dxa"/>
            <w:shd w:val="clear" w:color="auto" w:fill="auto"/>
            <w:vAlign w:val="center"/>
          </w:tcPr>
          <w:p w14:paraId="1B8F382B">
            <w:pPr>
              <w:numPr>
                <w:ilvl w:val="0"/>
                <w:numId w:val="0"/>
              </w:numPr>
              <w:ind w:left="0" w:leftChars="0" w:firstLine="0" w:firstLineChars="0"/>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1454" w:type="dxa"/>
            <w:vAlign w:val="center"/>
          </w:tcPr>
          <w:p w14:paraId="2174AD9C">
            <w:pPr>
              <w:numPr>
                <w:ilvl w:val="0"/>
                <w:numId w:val="0"/>
              </w:numPr>
              <w:ind w:left="0" w:leftChars="0" w:firstLine="0" w:firstLineChars="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color w:val="000000"/>
                <w:kern w:val="0"/>
                <w:sz w:val="21"/>
                <w:szCs w:val="21"/>
                <w:lang w:val="en-US" w:eastAsia="zh-CN"/>
              </w:rPr>
              <w:t>李</w:t>
            </w:r>
            <w:r>
              <w:rPr>
                <w:rFonts w:hint="eastAsia" w:ascii="仿宋_GB2312" w:hAnsi="仿宋_GB2312" w:eastAsia="仿宋_GB2312" w:cs="仿宋_GB2312"/>
                <w:color w:val="000000"/>
                <w:kern w:val="0"/>
                <w:sz w:val="21"/>
                <w:szCs w:val="21"/>
              </w:rPr>
              <w:t>老师，邮箱：</w:t>
            </w:r>
            <w:r>
              <w:rPr>
                <w:rFonts w:hint="eastAsia" w:ascii="仿宋_GB2312" w:hAnsi="仿宋_GB2312" w:eastAsia="仿宋_GB2312" w:cs="仿宋_GB2312"/>
                <w:color w:val="000000"/>
                <w:kern w:val="0"/>
                <w:sz w:val="21"/>
                <w:szCs w:val="21"/>
                <w:lang w:val="en-US" w:eastAsia="zh-CN"/>
              </w:rPr>
              <w:t>lxg</w:t>
            </w:r>
            <w:r>
              <w:rPr>
                <w:rFonts w:hint="eastAsia" w:ascii="仿宋_GB2312" w:hAnsi="仿宋_GB2312" w:eastAsia="仿宋_GB2312" w:cs="仿宋_GB2312"/>
                <w:color w:val="000000"/>
                <w:kern w:val="0"/>
                <w:sz w:val="21"/>
                <w:szCs w:val="21"/>
              </w:rPr>
              <w:t>@bisu.edu.cn</w:t>
            </w:r>
          </w:p>
        </w:tc>
      </w:tr>
      <w:tr w14:paraId="15D8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5" w:type="dxa"/>
            <w:shd w:val="clear" w:color="auto" w:fill="auto"/>
            <w:vAlign w:val="center"/>
          </w:tcPr>
          <w:p w14:paraId="3E2B38F1">
            <w:pPr>
              <w:widowControl/>
              <w:spacing w:line="360" w:lineRule="exact"/>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w:t>
            </w:r>
          </w:p>
        </w:tc>
        <w:tc>
          <w:tcPr>
            <w:tcW w:w="955" w:type="dxa"/>
            <w:shd w:val="clear" w:color="auto" w:fill="auto"/>
            <w:vAlign w:val="center"/>
          </w:tcPr>
          <w:p w14:paraId="5FB0722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电力保障配电室运行电工岗</w:t>
            </w:r>
          </w:p>
        </w:tc>
        <w:tc>
          <w:tcPr>
            <w:tcW w:w="769" w:type="dxa"/>
            <w:shd w:val="clear" w:color="auto" w:fill="auto"/>
            <w:vAlign w:val="center"/>
          </w:tcPr>
          <w:p w14:paraId="3C40BBB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sz w:val="21"/>
                <w:szCs w:val="21"/>
                <w:lang w:val="en-US" w:eastAsia="zh-CN"/>
              </w:rPr>
              <w:t>本科及以上</w:t>
            </w:r>
            <w:r>
              <w:rPr>
                <w:rFonts w:hint="eastAsia" w:ascii="仿宋_GB2312" w:hAnsi="仿宋_GB2312" w:eastAsia="仿宋_GB2312" w:cs="仿宋_GB2312"/>
                <w:sz w:val="21"/>
                <w:szCs w:val="21"/>
                <w:highlight w:val="none"/>
                <w:lang w:val="en-US" w:eastAsia="zh-CN"/>
              </w:rPr>
              <w:t>学历</w:t>
            </w:r>
          </w:p>
        </w:tc>
        <w:tc>
          <w:tcPr>
            <w:tcW w:w="1312" w:type="dxa"/>
            <w:shd w:val="clear" w:color="auto" w:fill="auto"/>
            <w:vAlign w:val="center"/>
          </w:tcPr>
          <w:p w14:paraId="5F791B9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电力系统及其自动化、电气工程及其自动化、供用电技术等相关专业优先</w:t>
            </w:r>
          </w:p>
        </w:tc>
        <w:tc>
          <w:tcPr>
            <w:tcW w:w="6582" w:type="dxa"/>
            <w:shd w:val="clear" w:color="auto" w:fill="auto"/>
            <w:vAlign w:val="center"/>
          </w:tcPr>
          <w:p w14:paraId="599EF80F">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lang w:val="en-US" w:eastAsia="zh-CN"/>
              </w:rPr>
            </w:pPr>
          </w:p>
          <w:p w14:paraId="55D3EB4F">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1.负责配电设备设施日常维修、计划检修与保养；</w:t>
            </w:r>
          </w:p>
          <w:p w14:paraId="5BE4B7B0">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2.巡视配电室机房，维护保养高低压开关、变压器等设备；</w:t>
            </w:r>
          </w:p>
          <w:p w14:paraId="16D0CB60">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3.负责线路安装与巡查，及时准确安全处理故障；</w:t>
            </w:r>
            <w:bookmarkStart w:id="4" w:name="_GoBack"/>
            <w:bookmarkEnd w:id="4"/>
          </w:p>
          <w:p w14:paraId="22ED31C6">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4.负责职责内电器设备维护检修，做好每天巡检设备运行巡检记录；</w:t>
            </w:r>
          </w:p>
          <w:p w14:paraId="1E75058B">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5.能够独立完成倒闸操作任务；</w:t>
            </w:r>
          </w:p>
          <w:p w14:paraId="21148576">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sz w:val="21"/>
                <w:szCs w:val="21"/>
                <w:lang w:val="en-US" w:eastAsia="zh-CN"/>
              </w:rPr>
              <w:t>6.完成领导交办的其他工作。</w:t>
            </w:r>
          </w:p>
        </w:tc>
        <w:tc>
          <w:tcPr>
            <w:tcW w:w="3693" w:type="dxa"/>
            <w:shd w:val="clear" w:color="auto" w:fill="auto"/>
            <w:vAlign w:val="center"/>
          </w:tcPr>
          <w:p w14:paraId="35DB8503">
            <w:pPr>
              <w:keepNext w:val="0"/>
              <w:keepLines w:val="0"/>
              <w:pageBreakBefore w:val="0"/>
              <w:widowControl/>
              <w:tabs>
                <w:tab w:val="left" w:pos="312"/>
              </w:tabs>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1.持高压电工操作证，有3-5年电力行业经验；</w:t>
            </w:r>
          </w:p>
          <w:p w14:paraId="3654AA18">
            <w:pPr>
              <w:keepNext w:val="0"/>
              <w:keepLines w:val="0"/>
              <w:pageBreakBefore w:val="0"/>
              <w:widowControl/>
              <w:tabs>
                <w:tab w:val="left" w:pos="312"/>
              </w:tabs>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2.熟悉变电所供电系统与设备分布，能胜任配电室值班工作，具备故障诊断处理能力；</w:t>
            </w:r>
          </w:p>
          <w:p w14:paraId="291D6636">
            <w:pPr>
              <w:keepNext w:val="0"/>
              <w:keepLines w:val="0"/>
              <w:pageBreakBefore w:val="0"/>
              <w:widowControl/>
              <w:tabs>
                <w:tab w:val="left" w:pos="312"/>
              </w:tabs>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3.具有良好的沟通、协作能力，严格遵守电气安全规程。</w:t>
            </w:r>
          </w:p>
          <w:p w14:paraId="0E8A592E">
            <w:pPr>
              <w:keepNext w:val="0"/>
              <w:keepLines w:val="0"/>
              <w:pageBreakBefore w:val="0"/>
              <w:widowControl/>
              <w:tabs>
                <w:tab w:val="left" w:pos="312"/>
              </w:tabs>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1"/>
                <w:szCs w:val="21"/>
                <w:lang w:val="en-US" w:eastAsia="zh-CN" w:bidi="ar-SA"/>
              </w:rPr>
            </w:pPr>
          </w:p>
        </w:tc>
        <w:tc>
          <w:tcPr>
            <w:tcW w:w="675" w:type="dxa"/>
            <w:shd w:val="clear" w:color="auto" w:fill="auto"/>
            <w:vAlign w:val="center"/>
          </w:tcPr>
          <w:p w14:paraId="7F2E0E6B">
            <w:pPr>
              <w:numPr>
                <w:ilvl w:val="0"/>
                <w:numId w:val="0"/>
              </w:numPr>
              <w:ind w:left="0" w:leftChars="0" w:firstLine="0" w:firstLineChars="0"/>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1454" w:type="dxa"/>
            <w:vAlign w:val="center"/>
          </w:tcPr>
          <w:p w14:paraId="433442BC">
            <w:pPr>
              <w:numPr>
                <w:ilvl w:val="0"/>
                <w:numId w:val="0"/>
              </w:numPr>
              <w:ind w:left="0" w:leftChars="0" w:firstLine="0" w:firstLineChars="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color w:val="000000"/>
                <w:kern w:val="0"/>
                <w:sz w:val="21"/>
                <w:szCs w:val="21"/>
                <w:lang w:val="en-US" w:eastAsia="zh-CN"/>
              </w:rPr>
              <w:t>李</w:t>
            </w:r>
            <w:r>
              <w:rPr>
                <w:rFonts w:hint="eastAsia" w:ascii="仿宋_GB2312" w:hAnsi="仿宋_GB2312" w:eastAsia="仿宋_GB2312" w:cs="仿宋_GB2312"/>
                <w:color w:val="000000"/>
                <w:kern w:val="0"/>
                <w:sz w:val="21"/>
                <w:szCs w:val="21"/>
              </w:rPr>
              <w:t>老师，邮箱：</w:t>
            </w:r>
            <w:r>
              <w:rPr>
                <w:rFonts w:hint="eastAsia" w:ascii="仿宋_GB2312" w:hAnsi="仿宋_GB2312" w:eastAsia="仿宋_GB2312" w:cs="仿宋_GB2312"/>
                <w:color w:val="000000"/>
                <w:kern w:val="0"/>
                <w:sz w:val="21"/>
                <w:szCs w:val="21"/>
                <w:lang w:val="en-US" w:eastAsia="zh-CN"/>
              </w:rPr>
              <w:t>lxg</w:t>
            </w:r>
            <w:r>
              <w:rPr>
                <w:rFonts w:hint="eastAsia" w:ascii="仿宋_GB2312" w:hAnsi="仿宋_GB2312" w:eastAsia="仿宋_GB2312" w:cs="仿宋_GB2312"/>
                <w:color w:val="000000"/>
                <w:kern w:val="0"/>
                <w:sz w:val="21"/>
                <w:szCs w:val="21"/>
              </w:rPr>
              <w:t>@bisu.edu.cn</w:t>
            </w:r>
          </w:p>
        </w:tc>
      </w:tr>
      <w:tr w14:paraId="3FB3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5" w:type="dxa"/>
            <w:shd w:val="clear" w:color="auto" w:fill="auto"/>
            <w:vAlign w:val="center"/>
          </w:tcPr>
          <w:p w14:paraId="2BD8771F">
            <w:pPr>
              <w:widowControl/>
              <w:spacing w:line="360" w:lineRule="exact"/>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w:t>
            </w:r>
          </w:p>
        </w:tc>
        <w:tc>
          <w:tcPr>
            <w:tcW w:w="955" w:type="dxa"/>
            <w:shd w:val="clear" w:color="auto" w:fill="auto"/>
            <w:vAlign w:val="center"/>
          </w:tcPr>
          <w:p w14:paraId="082749AB">
            <w:pPr>
              <w:numPr>
                <w:ilvl w:val="0"/>
                <w:numId w:val="0"/>
              </w:numPr>
              <w:ind w:left="0" w:leftChars="0" w:firstLine="0" w:firstLineChars="0"/>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合作办学项目管理岗</w:t>
            </w:r>
          </w:p>
          <w:p w14:paraId="67CF8391">
            <w:pPr>
              <w:numPr>
                <w:ilvl w:val="0"/>
                <w:numId w:val="0"/>
              </w:numPr>
              <w:ind w:left="0" w:leftChars="0" w:firstLine="0" w:firstLineChars="0"/>
              <w:jc w:val="center"/>
              <w:rPr>
                <w:rFonts w:hint="eastAsia" w:ascii="仿宋_GB2312" w:hAnsi="仿宋_GB2312" w:eastAsia="仿宋_GB2312" w:cs="仿宋_GB2312"/>
                <w:kern w:val="2"/>
                <w:sz w:val="21"/>
                <w:szCs w:val="21"/>
                <w:highlight w:val="none"/>
                <w:lang w:val="en-US" w:eastAsia="zh-CN" w:bidi="ar-SA"/>
              </w:rPr>
            </w:pPr>
          </w:p>
        </w:tc>
        <w:tc>
          <w:tcPr>
            <w:tcW w:w="769" w:type="dxa"/>
            <w:shd w:val="clear" w:color="auto" w:fill="auto"/>
            <w:vAlign w:val="center"/>
          </w:tcPr>
          <w:p w14:paraId="5046CC84">
            <w:pPr>
              <w:numPr>
                <w:ilvl w:val="0"/>
                <w:numId w:val="0"/>
              </w:numPr>
              <w:ind w:left="0" w:leftChars="0" w:firstLine="0" w:firstLineChars="0"/>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本科及以上学历</w:t>
            </w:r>
          </w:p>
        </w:tc>
        <w:tc>
          <w:tcPr>
            <w:tcW w:w="1312" w:type="dxa"/>
            <w:shd w:val="clear" w:color="auto" w:fill="auto"/>
            <w:vAlign w:val="center"/>
          </w:tcPr>
          <w:p w14:paraId="6C25554B">
            <w:pPr>
              <w:numPr>
                <w:ilvl w:val="0"/>
                <w:numId w:val="0"/>
              </w:numPr>
              <w:ind w:left="0" w:leftChars="0" w:firstLine="0" w:firstLineChars="0"/>
              <w:jc w:val="left"/>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法学、管理学、教育学、政治学等相关专业背景优先</w:t>
            </w:r>
          </w:p>
        </w:tc>
        <w:tc>
          <w:tcPr>
            <w:tcW w:w="6582" w:type="dxa"/>
            <w:shd w:val="clear" w:color="auto" w:fill="auto"/>
            <w:vAlign w:val="center"/>
          </w:tcPr>
          <w:p w14:paraId="3D146AD7">
            <w:pPr>
              <w:numPr>
                <w:ilvl w:val="0"/>
                <w:numId w:val="0"/>
              </w:numPr>
              <w:ind w:left="0" w:leftChars="0" w:firstLine="0" w:firstLineChars="0"/>
              <w:jc w:val="both"/>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1.参与学院非学历合作办学项目的招生、教学及日常运行管理，确保各项工作符合国家法律法规、教育主管部门政策、合作办学协议及学校规章制度；</w:t>
            </w:r>
          </w:p>
          <w:p w14:paraId="581BCD20">
            <w:pPr>
              <w:numPr>
                <w:ilvl w:val="0"/>
                <w:numId w:val="0"/>
              </w:numPr>
              <w:ind w:left="0" w:leftChars="0" w:firstLine="0" w:firstLineChars="0"/>
              <w:jc w:val="both"/>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2.参与项目规范化建设，协助制定并执行相关管理制度，建立健全项目管理流程与档案体系；</w:t>
            </w:r>
          </w:p>
          <w:p w14:paraId="15D922DD">
            <w:pPr>
              <w:numPr>
                <w:ilvl w:val="0"/>
                <w:numId w:val="0"/>
              </w:numPr>
              <w:ind w:left="0" w:leftChars="0" w:firstLine="0" w:firstLineChars="0"/>
              <w:jc w:val="both"/>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3.参与项目经费的预决算审核，监督经费使用的规范性与有效性；</w:t>
            </w:r>
          </w:p>
          <w:p w14:paraId="334AEE62">
            <w:pPr>
              <w:numPr>
                <w:ilvl w:val="0"/>
                <w:numId w:val="0"/>
              </w:numPr>
              <w:ind w:left="0" w:leftChars="0" w:firstLine="0" w:firstLineChars="0"/>
              <w:jc w:val="both"/>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4.负责与合作方、兼职教师及项目相关人员的日常协调、管理与行为监督，开展合规教育与沟通，维护良好的合作办学秩序与教学质量；</w:t>
            </w:r>
          </w:p>
          <w:p w14:paraId="7828DA27">
            <w:pPr>
              <w:numPr>
                <w:ilvl w:val="0"/>
                <w:numId w:val="0"/>
              </w:numPr>
              <w:ind w:left="0" w:leftChars="0" w:firstLine="0" w:firstLineChars="0"/>
              <w:jc w:val="both"/>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5.完成学院交办的其他与合作办学管理相关的事务性工作。</w:t>
            </w:r>
          </w:p>
        </w:tc>
        <w:tc>
          <w:tcPr>
            <w:tcW w:w="3693" w:type="dxa"/>
            <w:shd w:val="clear" w:color="auto" w:fill="auto"/>
            <w:vAlign w:val="center"/>
          </w:tcPr>
          <w:p w14:paraId="4DE6BDB5">
            <w:pPr>
              <w:numPr>
                <w:ilvl w:val="0"/>
                <w:numId w:val="0"/>
              </w:numPr>
              <w:ind w:left="0" w:leftChars="0" w:firstLine="0" w:firstLineChars="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1.中共党员优先；</w:t>
            </w:r>
          </w:p>
          <w:p w14:paraId="68B5E9E0">
            <w:pPr>
              <w:numPr>
                <w:ilvl w:val="0"/>
                <w:numId w:val="0"/>
              </w:numPr>
              <w:ind w:left="0" w:leftChars="0" w:firstLine="0" w:firstLineChars="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2.具备良好的沟通协调能力、服务意识与文书处理能力；</w:t>
            </w:r>
          </w:p>
          <w:p w14:paraId="47480E25">
            <w:pPr>
              <w:numPr>
                <w:ilvl w:val="0"/>
                <w:numId w:val="0"/>
              </w:numPr>
              <w:ind w:left="0" w:leftChars="0" w:firstLine="0" w:firstLineChars="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3.为人正直，责任心强，具备较强的抗压能力与冲突处理能力；</w:t>
            </w:r>
          </w:p>
          <w:p w14:paraId="1EE0AA87">
            <w:pPr>
              <w:numPr>
                <w:ilvl w:val="0"/>
                <w:numId w:val="0"/>
              </w:numPr>
              <w:ind w:left="0" w:leftChars="0" w:firstLine="0" w:firstLineChars="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4.具有纪检监察、审计、合规、风控、法务或财务监管相关工作经验者优先；</w:t>
            </w:r>
          </w:p>
          <w:p w14:paraId="7C59AEF3">
            <w:pPr>
              <w:numPr>
                <w:ilvl w:val="0"/>
                <w:numId w:val="0"/>
              </w:numPr>
              <w:ind w:left="0" w:leftChars="0" w:firstLine="0" w:firstLineChars="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5.具有高等教育管理、国际合作交流或中外合作办学项目管理经验者优先。</w:t>
            </w:r>
          </w:p>
          <w:p w14:paraId="2CB2B6B4">
            <w:pPr>
              <w:numPr>
                <w:ilvl w:val="0"/>
                <w:numId w:val="0"/>
              </w:numPr>
              <w:ind w:left="0" w:leftChars="0" w:firstLine="0" w:firstLineChars="0"/>
              <w:jc w:val="left"/>
              <w:rPr>
                <w:rFonts w:hint="eastAsia" w:ascii="仿宋_GB2312" w:hAnsi="仿宋_GB2312" w:eastAsia="仿宋_GB2312" w:cs="仿宋_GB2312"/>
                <w:sz w:val="21"/>
                <w:szCs w:val="21"/>
                <w:highlight w:val="none"/>
                <w:lang w:val="en-US" w:eastAsia="zh-CN"/>
              </w:rPr>
            </w:pPr>
          </w:p>
          <w:p w14:paraId="7748C0FA">
            <w:pPr>
              <w:numPr>
                <w:ilvl w:val="0"/>
                <w:numId w:val="0"/>
              </w:numPr>
              <w:ind w:left="0" w:leftChars="0" w:firstLine="0" w:firstLineChars="0"/>
              <w:jc w:val="left"/>
              <w:rPr>
                <w:rFonts w:hint="eastAsia" w:ascii="仿宋_GB2312" w:hAnsi="仿宋_GB2312" w:eastAsia="仿宋_GB2312" w:cs="仿宋_GB2312"/>
                <w:kern w:val="2"/>
                <w:sz w:val="21"/>
                <w:szCs w:val="21"/>
                <w:highlight w:val="none"/>
                <w:lang w:val="en-US" w:eastAsia="zh-CN" w:bidi="ar-SA"/>
              </w:rPr>
            </w:pPr>
          </w:p>
        </w:tc>
        <w:tc>
          <w:tcPr>
            <w:tcW w:w="675" w:type="dxa"/>
            <w:shd w:val="clear" w:color="auto" w:fill="auto"/>
            <w:vAlign w:val="center"/>
          </w:tcPr>
          <w:p w14:paraId="3AAF841A">
            <w:pPr>
              <w:numPr>
                <w:ilvl w:val="0"/>
                <w:numId w:val="0"/>
              </w:numPr>
              <w:ind w:left="0" w:leftChars="0" w:firstLine="0" w:firstLineChars="0"/>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1</w:t>
            </w:r>
          </w:p>
        </w:tc>
        <w:tc>
          <w:tcPr>
            <w:tcW w:w="1454" w:type="dxa"/>
            <w:shd w:val="clear"/>
            <w:vAlign w:val="center"/>
          </w:tcPr>
          <w:p w14:paraId="5BB6A004">
            <w:pPr>
              <w:numPr>
                <w:ilvl w:val="0"/>
                <w:numId w:val="0"/>
              </w:numPr>
              <w:ind w:left="0" w:leftChars="0" w:firstLine="0" w:firstLineChars="0"/>
              <w:jc w:val="left"/>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1"/>
                <w:szCs w:val="21"/>
                <w:highlight w:val="none"/>
                <w:lang w:val="en-US" w:eastAsia="zh-CN"/>
              </w:rPr>
              <w:t>董老师，邮箱：dongwenhua@bisu.edu.cn</w:t>
            </w:r>
          </w:p>
          <w:p w14:paraId="134C4C41">
            <w:pPr>
              <w:numPr>
                <w:ilvl w:val="0"/>
                <w:numId w:val="0"/>
              </w:numPr>
              <w:ind w:left="0" w:leftChars="0" w:firstLine="0" w:firstLineChars="0"/>
              <w:jc w:val="left"/>
              <w:rPr>
                <w:rFonts w:hint="eastAsia" w:ascii="仿宋_GB2312" w:hAnsi="仿宋_GB2312" w:eastAsia="仿宋_GB2312" w:cs="仿宋_GB2312"/>
                <w:kern w:val="2"/>
                <w:sz w:val="21"/>
                <w:szCs w:val="21"/>
                <w:highlight w:val="none"/>
                <w:lang w:val="en-US" w:eastAsia="zh-CN" w:bidi="ar-SA"/>
              </w:rPr>
            </w:pPr>
          </w:p>
        </w:tc>
      </w:tr>
      <w:bookmarkEnd w:id="1"/>
      <w:bookmarkEnd w:id="2"/>
      <w:bookmarkEnd w:id="3"/>
    </w:tbl>
    <w:p w14:paraId="3D51D520">
      <w:pPr>
        <w:numPr>
          <w:ilvl w:val="0"/>
          <w:numId w:val="0"/>
        </w:numPr>
        <w:ind w:left="0" w:leftChars="0" w:firstLine="0" w:firstLineChars="0"/>
        <w:jc w:val="left"/>
        <w:rPr>
          <w:rFonts w:ascii="仿宋" w:hAnsi="仿宋" w:eastAsia="仿宋"/>
          <w:b/>
          <w:sz w:val="21"/>
          <w:szCs w:val="21"/>
        </w:rPr>
      </w:pPr>
      <w:r>
        <w:rPr>
          <w:rFonts w:hint="eastAsia" w:ascii="仿宋_GB2312" w:hAnsi="仿宋_GB2312" w:eastAsia="仿宋_GB2312" w:cs="仿宋_GB2312"/>
          <w:b/>
          <w:bCs/>
          <w:sz w:val="21"/>
          <w:szCs w:val="21"/>
          <w:highlight w:val="none"/>
          <w:lang w:val="en-US" w:eastAsia="zh-CN"/>
        </w:rPr>
        <w:t>注：</w:t>
      </w:r>
      <w:r>
        <w:rPr>
          <w:rFonts w:hint="eastAsia" w:ascii="仿宋_GB2312" w:hAnsi="仿宋_GB2312" w:eastAsia="仿宋_GB2312" w:cs="仿宋_GB2312"/>
          <w:sz w:val="21"/>
          <w:szCs w:val="21"/>
          <w:highlight w:val="none"/>
          <w:lang w:val="en-US" w:eastAsia="zh-CN"/>
        </w:rPr>
        <w:t>合作办学项目管理岗合同期限为5年</w:t>
      </w:r>
    </w:p>
    <w:sectPr>
      <w:pgSz w:w="16838" w:h="11906" w:orient="landscape"/>
      <w:pgMar w:top="760" w:right="1440" w:bottom="81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2OGJiNDk4NjlmNTk3ZjJkNjUwOTdlN2VmMDhhZGYifQ=="/>
    <w:docVar w:name="KSOReumeCategoryDocument" w:val="1"/>
  </w:docVars>
  <w:rsids>
    <w:rsidRoot w:val="002C6893"/>
    <w:rsid w:val="000226AD"/>
    <w:rsid w:val="00031D98"/>
    <w:rsid w:val="00041595"/>
    <w:rsid w:val="00042F71"/>
    <w:rsid w:val="00094A0B"/>
    <w:rsid w:val="000A22E2"/>
    <w:rsid w:val="001249F1"/>
    <w:rsid w:val="00176B9D"/>
    <w:rsid w:val="001810DC"/>
    <w:rsid w:val="00194FA2"/>
    <w:rsid w:val="001A7D83"/>
    <w:rsid w:val="001E33C6"/>
    <w:rsid w:val="001E5650"/>
    <w:rsid w:val="001F4A0A"/>
    <w:rsid w:val="002468F0"/>
    <w:rsid w:val="00265D21"/>
    <w:rsid w:val="0027047C"/>
    <w:rsid w:val="00296AD2"/>
    <w:rsid w:val="002C6893"/>
    <w:rsid w:val="00343BE1"/>
    <w:rsid w:val="00354AC8"/>
    <w:rsid w:val="00376121"/>
    <w:rsid w:val="003926C7"/>
    <w:rsid w:val="00447FB2"/>
    <w:rsid w:val="004769E2"/>
    <w:rsid w:val="004A1D13"/>
    <w:rsid w:val="005110AE"/>
    <w:rsid w:val="00513639"/>
    <w:rsid w:val="00517E10"/>
    <w:rsid w:val="00521E63"/>
    <w:rsid w:val="005364D4"/>
    <w:rsid w:val="005411B1"/>
    <w:rsid w:val="00562B7E"/>
    <w:rsid w:val="005772CF"/>
    <w:rsid w:val="00635198"/>
    <w:rsid w:val="00646B07"/>
    <w:rsid w:val="00653844"/>
    <w:rsid w:val="006772C5"/>
    <w:rsid w:val="00695513"/>
    <w:rsid w:val="006A4DCB"/>
    <w:rsid w:val="006B07D1"/>
    <w:rsid w:val="006D7D7C"/>
    <w:rsid w:val="006F2128"/>
    <w:rsid w:val="00722017"/>
    <w:rsid w:val="00727744"/>
    <w:rsid w:val="00730BA2"/>
    <w:rsid w:val="00774FA1"/>
    <w:rsid w:val="007A1201"/>
    <w:rsid w:val="007B4604"/>
    <w:rsid w:val="007D71BE"/>
    <w:rsid w:val="007F2B5F"/>
    <w:rsid w:val="00852B51"/>
    <w:rsid w:val="00862181"/>
    <w:rsid w:val="00887F3D"/>
    <w:rsid w:val="008B5F79"/>
    <w:rsid w:val="008C5D9D"/>
    <w:rsid w:val="008E1D22"/>
    <w:rsid w:val="00940B06"/>
    <w:rsid w:val="0096134B"/>
    <w:rsid w:val="009761A1"/>
    <w:rsid w:val="009A34A0"/>
    <w:rsid w:val="009D6E98"/>
    <w:rsid w:val="00AB7BD5"/>
    <w:rsid w:val="00AE7DA7"/>
    <w:rsid w:val="00B25425"/>
    <w:rsid w:val="00B26103"/>
    <w:rsid w:val="00B275D3"/>
    <w:rsid w:val="00B430A4"/>
    <w:rsid w:val="00C64CF7"/>
    <w:rsid w:val="00CE04CC"/>
    <w:rsid w:val="00D25F2B"/>
    <w:rsid w:val="00D313D3"/>
    <w:rsid w:val="00D31A81"/>
    <w:rsid w:val="00D71B15"/>
    <w:rsid w:val="00DB24EB"/>
    <w:rsid w:val="00DB314E"/>
    <w:rsid w:val="00DE345B"/>
    <w:rsid w:val="00E101AB"/>
    <w:rsid w:val="00E313E8"/>
    <w:rsid w:val="00E76AAC"/>
    <w:rsid w:val="00EC0F8C"/>
    <w:rsid w:val="00ED3BD6"/>
    <w:rsid w:val="00F8007F"/>
    <w:rsid w:val="022E6625"/>
    <w:rsid w:val="02692EAB"/>
    <w:rsid w:val="045C1823"/>
    <w:rsid w:val="0A2A4228"/>
    <w:rsid w:val="0CEB10AA"/>
    <w:rsid w:val="0D2070E4"/>
    <w:rsid w:val="0D3147B4"/>
    <w:rsid w:val="136D5BFE"/>
    <w:rsid w:val="15B13863"/>
    <w:rsid w:val="166D4A3C"/>
    <w:rsid w:val="17EB4E0B"/>
    <w:rsid w:val="18196820"/>
    <w:rsid w:val="1C562905"/>
    <w:rsid w:val="1FF117A9"/>
    <w:rsid w:val="22A410FD"/>
    <w:rsid w:val="25AC1F81"/>
    <w:rsid w:val="27CC1DCF"/>
    <w:rsid w:val="28CE2C78"/>
    <w:rsid w:val="30F54EA6"/>
    <w:rsid w:val="320128DF"/>
    <w:rsid w:val="33556471"/>
    <w:rsid w:val="3B972D13"/>
    <w:rsid w:val="3C5C71FB"/>
    <w:rsid w:val="3D7F518F"/>
    <w:rsid w:val="3EA84626"/>
    <w:rsid w:val="3F675BAE"/>
    <w:rsid w:val="41067ADC"/>
    <w:rsid w:val="44D233F9"/>
    <w:rsid w:val="45DE02FC"/>
    <w:rsid w:val="478023A6"/>
    <w:rsid w:val="509E3B74"/>
    <w:rsid w:val="5472029B"/>
    <w:rsid w:val="56C1680E"/>
    <w:rsid w:val="5B7200D7"/>
    <w:rsid w:val="65F04725"/>
    <w:rsid w:val="68852D7D"/>
    <w:rsid w:val="6B8D0623"/>
    <w:rsid w:val="6D836AE8"/>
    <w:rsid w:val="6F993DD5"/>
    <w:rsid w:val="73A013F5"/>
    <w:rsid w:val="74F94FB2"/>
    <w:rsid w:val="76A2434C"/>
    <w:rsid w:val="78813C7A"/>
    <w:rsid w:val="7CFA71A0"/>
    <w:rsid w:val="7D5053A5"/>
    <w:rsid w:val="7E7B5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uiPriority w:val="11"/>
    <w:pPr>
      <w:spacing w:before="240" w:after="60" w:line="312" w:lineRule="auto"/>
      <w:jc w:val="center"/>
      <w:outlineLvl w:val="1"/>
    </w:pPr>
    <w:rPr>
      <w:b/>
      <w:bCs/>
      <w:kern w:val="28"/>
      <w:sz w:val="32"/>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paragraph" w:customStyle="1" w:styleId="10">
    <w:name w:val="列出段落1"/>
    <w:basedOn w:val="1"/>
    <w:qFormat/>
    <w:uiPriority w:val="0"/>
    <w:pPr>
      <w:ind w:firstLine="420" w:firstLineChars="200"/>
    </w:pPr>
    <w:rPr>
      <w:rFonts w:ascii="Calibri" w:hAnsi="Calibri" w:eastAsia="宋体" w:cs="Times New Roman"/>
    </w:rPr>
  </w:style>
  <w:style w:type="paragraph" w:customStyle="1" w:styleId="11">
    <w:name w:val="无间隔1"/>
    <w:qFormat/>
    <w:uiPriority w:val="0"/>
    <w:pPr>
      <w:widowControl w:val="0"/>
      <w:jc w:val="both"/>
    </w:pPr>
    <w:rPr>
      <w:rFonts w:ascii="Times New Roman" w:hAnsi="Times New Roman" w:eastAsia="宋体" w:cs="Times New Roman"/>
      <w:kern w:val="18"/>
      <w:sz w:val="18"/>
      <w:szCs w:val="24"/>
      <w:lang w:val="en-US" w:eastAsia="zh-CN" w:bidi="ar-SA"/>
    </w:rPr>
  </w:style>
  <w:style w:type="character" w:customStyle="1" w:styleId="12">
    <w:name w:val="页眉 字符"/>
    <w:basedOn w:val="8"/>
    <w:link w:val="4"/>
    <w:qFormat/>
    <w:uiPriority w:val="99"/>
    <w:rPr>
      <w:sz w:val="18"/>
      <w:szCs w:val="18"/>
    </w:rPr>
  </w:style>
  <w:style w:type="character" w:customStyle="1" w:styleId="13">
    <w:name w:val="页脚 字符"/>
    <w:basedOn w:val="8"/>
    <w:link w:val="3"/>
    <w:qFormat/>
    <w:uiPriority w:val="99"/>
    <w:rPr>
      <w:sz w:val="18"/>
      <w:szCs w:val="18"/>
    </w:rPr>
  </w:style>
  <w:style w:type="character" w:customStyle="1" w:styleId="14">
    <w:name w:val="批注框文本 字符"/>
    <w:basedOn w:val="8"/>
    <w:link w:val="2"/>
    <w:semiHidden/>
    <w:qFormat/>
    <w:uiPriority w:val="99"/>
    <w:rPr>
      <w:sz w:val="18"/>
      <w:szCs w:val="18"/>
    </w:rPr>
  </w:style>
  <w:style w:type="paragraph" w:styleId="1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53392-A2C4-48DC-B18A-836B3FD53648}">
  <ds:schemaRefs/>
</ds:datastoreItem>
</file>

<file path=docProps/app.xml><?xml version="1.0" encoding="utf-8"?>
<Properties xmlns="http://schemas.openxmlformats.org/officeDocument/2006/extended-properties" xmlns:vt="http://schemas.openxmlformats.org/officeDocument/2006/docPropsVTypes">
  <Template>Normal</Template>
  <Pages>2</Pages>
  <Words>1733</Words>
  <Characters>1871</Characters>
  <Lines>10</Lines>
  <Paragraphs>3</Paragraphs>
  <TotalTime>237</TotalTime>
  <ScaleCrop>false</ScaleCrop>
  <LinksUpToDate>false</LinksUpToDate>
  <CharactersWithSpaces>2557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2019-02-21T08:33:00Z</dcterms:created>
  <dc:creator>曾思源</dc:creator>
  <cp:lastModifiedBy>夏艺菲</cp:lastModifiedBy>
  <cp:lastPrinted>2026-01-21T02:40:44Z</cp:lastPrinted>
  <dcterms:modified xsi:type="dcterms:W3CDTF">2026-01-21T06:40:15Z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1FEBC0D3CA1B42D181B3664CECF07352_12</vt:lpwstr>
  </property>
  <property fmtid="{D5CDD505-2E9C-101B-9397-08002B2CF9AE}" pid="4" name="KSOTemplateDocerSaveRecord">
    <vt:lpwstr>eyJoZGlkIjoiMDU4OTUwM2M3NWRjOWNkN2MzM2NlODY0YmZiMmExYWIiLCJ1c2VySWQiOiIxNTYyNjkyOTM2In0=</vt:lpwstr>
  </property>
</Properties>
</file>