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1009">
      <w:pPr>
        <w:spacing w:line="520" w:lineRule="exact"/>
        <w:rPr>
          <w:rFonts w:hint="default" w:ascii="Times New Roman" w:hAnsi="Times New Roman" w:eastAsia="黑体" w:cs="Times New Roman"/>
          <w:spacing w:val="-6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pacing w:val="-6"/>
          <w:sz w:val="28"/>
          <w:szCs w:val="28"/>
          <w:highlight w:val="none"/>
        </w:rPr>
        <w:t>附件1</w:t>
      </w:r>
    </w:p>
    <w:p w14:paraId="02FC3917">
      <w:pPr>
        <w:spacing w:line="520" w:lineRule="exact"/>
        <w:jc w:val="center"/>
        <w:rPr>
          <w:rFonts w:hint="default" w:ascii="Times New Roman" w:hAnsi="Times New Roman" w:eastAsia="黑体" w:cs="Times New Roman"/>
          <w:color w:val="auto"/>
          <w:spacing w:val="-6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6"/>
          <w:szCs w:val="36"/>
          <w:highlight w:val="none"/>
        </w:rPr>
        <w:t>四川省药品监督管理局</w:t>
      </w:r>
      <w:r>
        <w:rPr>
          <w:rFonts w:hint="default" w:ascii="Times New Roman" w:hAnsi="Times New Roman" w:eastAsia="黑体" w:cs="Times New Roman"/>
          <w:color w:val="auto"/>
          <w:spacing w:val="-6"/>
          <w:sz w:val="36"/>
          <w:szCs w:val="36"/>
          <w:highlight w:val="none"/>
          <w:lang w:eastAsia="zh-CN"/>
        </w:rPr>
        <w:t>所</w:t>
      </w:r>
      <w:r>
        <w:rPr>
          <w:rFonts w:hint="default" w:ascii="Times New Roman" w:hAnsi="Times New Roman" w:eastAsia="黑体" w:cs="Times New Roman"/>
          <w:color w:val="auto"/>
          <w:spacing w:val="-6"/>
          <w:sz w:val="36"/>
          <w:szCs w:val="36"/>
          <w:highlight w:val="none"/>
        </w:rPr>
        <w:t>属事业单位</w:t>
      </w:r>
    </w:p>
    <w:p w14:paraId="34E85701">
      <w:pPr>
        <w:spacing w:line="520" w:lineRule="exact"/>
        <w:jc w:val="center"/>
        <w:rPr>
          <w:rFonts w:hint="default" w:ascii="Times New Roman" w:hAnsi="Times New Roman" w:eastAsia="黑体" w:cs="Times New Roman"/>
          <w:color w:val="auto"/>
          <w:spacing w:val="-6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黑体" w:cs="Times New Roman"/>
          <w:color w:val="auto"/>
          <w:spacing w:val="-6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spacing w:val="-6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黑体" w:cs="Times New Roman"/>
          <w:color w:val="auto"/>
          <w:spacing w:val="-6"/>
          <w:sz w:val="36"/>
          <w:szCs w:val="36"/>
          <w:highlight w:val="none"/>
          <w:lang w:eastAsia="zh-CN"/>
        </w:rPr>
        <w:t>上</w:t>
      </w:r>
      <w:r>
        <w:rPr>
          <w:rFonts w:hint="default" w:ascii="Times New Roman" w:hAnsi="Times New Roman" w:eastAsia="黑体" w:cs="Times New Roman"/>
          <w:color w:val="auto"/>
          <w:spacing w:val="-6"/>
          <w:sz w:val="36"/>
          <w:szCs w:val="36"/>
          <w:highlight w:val="none"/>
        </w:rPr>
        <w:t>半年公开招聘工作人员岗位和条件要求一览表</w:t>
      </w:r>
    </w:p>
    <w:tbl>
      <w:tblPr>
        <w:tblStyle w:val="3"/>
        <w:tblpPr w:leftFromText="180" w:rightFromText="180" w:vertAnchor="text" w:horzAnchor="page" w:tblpXSpec="center" w:tblpY="207"/>
        <w:tblOverlap w:val="never"/>
        <w:tblW w:w="573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825"/>
        <w:gridCol w:w="720"/>
        <w:gridCol w:w="960"/>
        <w:gridCol w:w="585"/>
        <w:gridCol w:w="810"/>
        <w:gridCol w:w="885"/>
        <w:gridCol w:w="960"/>
        <w:gridCol w:w="2399"/>
        <w:gridCol w:w="868"/>
        <w:gridCol w:w="724"/>
        <w:gridCol w:w="944"/>
        <w:gridCol w:w="825"/>
        <w:gridCol w:w="930"/>
        <w:gridCol w:w="1797"/>
        <w:gridCol w:w="505"/>
      </w:tblGrid>
      <w:tr w14:paraId="710B3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ABDF2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招聘单位</w:t>
            </w: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298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招聘岗位</w:t>
            </w:r>
          </w:p>
        </w:tc>
        <w:tc>
          <w:tcPr>
            <w:tcW w:w="2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772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49A8075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编码</w:t>
            </w:r>
          </w:p>
        </w:tc>
        <w:tc>
          <w:tcPr>
            <w:tcW w:w="1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435251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招聘人数</w:t>
            </w:r>
          </w:p>
        </w:tc>
        <w:tc>
          <w:tcPr>
            <w:tcW w:w="2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839315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招聘对象范围</w:t>
            </w:r>
          </w:p>
        </w:tc>
        <w:tc>
          <w:tcPr>
            <w:tcW w:w="15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4DE598">
            <w:pPr>
              <w:ind w:left="291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其他条件要求</w:t>
            </w:r>
          </w:p>
        </w:tc>
        <w:tc>
          <w:tcPr>
            <w:tcW w:w="2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431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</w:t>
            </w:r>
          </w:p>
          <w:p w14:paraId="76C5D55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开考比例</w:t>
            </w:r>
          </w:p>
        </w:tc>
        <w:tc>
          <w:tcPr>
            <w:tcW w:w="2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80BA">
            <w:pPr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公共科目笔试名称</w:t>
            </w:r>
          </w:p>
        </w:tc>
        <w:tc>
          <w:tcPr>
            <w:tcW w:w="2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5DF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专业笔试名称</w:t>
            </w:r>
          </w:p>
        </w:tc>
        <w:tc>
          <w:tcPr>
            <w:tcW w:w="2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F0037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面试</w:t>
            </w:r>
          </w:p>
          <w:p w14:paraId="6BFA39C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入围比例</w:t>
            </w:r>
          </w:p>
        </w:tc>
        <w:tc>
          <w:tcPr>
            <w:tcW w:w="5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AA8A">
            <w:pPr>
              <w:tabs>
                <w:tab w:val="left" w:pos="1522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  <w:tc>
          <w:tcPr>
            <w:tcW w:w="1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FDD869">
            <w:pPr>
              <w:tabs>
                <w:tab w:val="left" w:pos="1522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咨询电话</w:t>
            </w:r>
          </w:p>
        </w:tc>
      </w:tr>
      <w:tr w14:paraId="3075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4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888C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9747F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066B7BB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F9F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0AAA0B7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DA80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661C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465AF5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6C2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B700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032A115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5AD9E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专业条件要求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995C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</w:t>
            </w:r>
          </w:p>
        </w:tc>
        <w:tc>
          <w:tcPr>
            <w:tcW w:w="2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81C2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68D6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2707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25EF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5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1977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3093"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 w14:paraId="0E8AB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16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CC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C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药品检查</w:t>
            </w: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" w:eastAsia="zh-CN" w:bidi="ar"/>
              </w:rPr>
              <w:t>A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6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200024001001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E0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A137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A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1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D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药物化学（078001、100701），药剂学（078002、100702），药物分析学（078004、100704），微生物与生化药学（100705），有机化学（070303）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从事医药行业相关工作满2年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66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0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6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3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5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1.能适应经常外出检查（派驻）需要。</w:t>
            </w:r>
          </w:p>
          <w:p w14:paraId="0EE41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2.报考人员学历学位为博士研究生学历及相应学位，可申请聘用至专业技术岗位十级及以下。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A285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028-86622850</w:t>
            </w:r>
          </w:p>
        </w:tc>
      </w:tr>
      <w:tr w14:paraId="7747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61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CA6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25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药品检查</w:t>
            </w:r>
          </w:p>
          <w:p w14:paraId="1BC087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" w:eastAsia="zh-CN" w:bidi="ar"/>
              </w:rPr>
              <w:t>B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6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20002400100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D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2B59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9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A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DD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中药学（一级学科）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从事医药行业相关工作满2年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0B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D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3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88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8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1.能适应经常外出检查（派驻）需要。</w:t>
            </w:r>
          </w:p>
          <w:p w14:paraId="46F62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2.报考人员学历学位为博士研究生学历及相应学位，可申请聘用至专业技术岗位十级及以下。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25F8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028-86622850</w:t>
            </w:r>
          </w:p>
        </w:tc>
      </w:tr>
      <w:tr w14:paraId="7E2AA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8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A5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A8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药品检查</w:t>
            </w:r>
          </w:p>
          <w:p w14:paraId="3A5A49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" w:eastAsia="zh-CN" w:bidi="ar"/>
              </w:rPr>
              <w:t>C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A5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20002400100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39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E8D5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F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0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3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核能科学与工程（082701），核燃料循环与材料（082702），核技术及应用（082703），核能工程（085803），放射医学（077806、100106），影像医学与核医学（100207）</w:t>
            </w:r>
            <w:r>
              <w:rPr>
                <w:rFonts w:hint="eastAsia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核医学（105125）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3E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3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A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4C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3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9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1.能适应经常外出检查（派驻）需要。</w:t>
            </w:r>
          </w:p>
          <w:p w14:paraId="1A59E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2.报考人员学历学位为博士研究生学历及相应学位，可申请聘用至专业技术岗位十级及以下。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5324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028-86622850</w:t>
            </w:r>
          </w:p>
        </w:tc>
      </w:tr>
      <w:tr w14:paraId="580C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4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8E8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E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药品检查</w:t>
            </w: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" w:eastAsia="zh-CN" w:bidi="ar"/>
              </w:rPr>
              <w:t>D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9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20002400100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2A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1B01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B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9C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9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生物医学工程（一级学科、二级学科），材料科学与工程（一级学科），生物工程（一级学科），生物学（一级学科）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从事医药行业相关工作满2年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D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8C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3D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FF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9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1.能适应经常外出检查（派驻）需要。</w:t>
            </w:r>
          </w:p>
          <w:p w14:paraId="3012C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2.报考人员学历学位为博士研究生学历及相应学位，可申请聘用至专业技术岗位十级及以下。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2FD8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028-86622850</w:t>
            </w:r>
          </w:p>
        </w:tc>
      </w:tr>
      <w:tr w14:paraId="24B1C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5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0C9F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92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药品检查</w:t>
            </w:r>
          </w:p>
          <w:p w14:paraId="1A0ED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" w:eastAsia="zh-CN" w:bidi="ar"/>
              </w:rPr>
              <w:t>E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8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20002400100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51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6AAD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D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1C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6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基础医学，临床医学，口腔医学，公共卫生与预防医学（以上均为一级学科）；</w:t>
            </w:r>
          </w:p>
          <w:p w14:paraId="773549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临床药学（二级学科）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5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3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64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D4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6E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1E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1.能适应经常外出检查（派驻）需要。</w:t>
            </w:r>
          </w:p>
          <w:p w14:paraId="7E99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2.报考人员学历学位为博士研究生学历及相应学位，可申请聘用至专业技术岗位十级及以下。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7BD0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028-86622850</w:t>
            </w:r>
          </w:p>
        </w:tc>
      </w:tr>
      <w:tr w14:paraId="5D9C6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7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C1AA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A2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药品检查</w:t>
            </w:r>
          </w:p>
          <w:p w14:paraId="1AEF0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" w:eastAsia="zh-CN" w:bidi="ar"/>
              </w:rPr>
              <w:t>F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E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20002400100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8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2DA4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0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54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A8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机械，机械工程，能源动力，仪器科学与技术（以上均为一级学科）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5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DC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3D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92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D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D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1.能适应经常外出检查（派驻）需要。</w:t>
            </w:r>
          </w:p>
          <w:p w14:paraId="5478C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2.报考人员学历学位为博士研究生学历及相应学位，可申请聘用至专业技术岗位十级及以下。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FF3B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028-86622850</w:t>
            </w:r>
          </w:p>
        </w:tc>
      </w:tr>
      <w:tr w14:paraId="67FE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D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D51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B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药品检查</w:t>
            </w: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" w:eastAsia="zh-CN" w:bidi="ar"/>
              </w:rPr>
              <w:t>G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CC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20002400100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B9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2705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1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7B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B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计算机科学与技术，信息与通信工程，软件工程，电子信息（以上均为一级学科）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C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2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6D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5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F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6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1.能适应经常外出检查（派驻）需要。</w:t>
            </w:r>
          </w:p>
          <w:p w14:paraId="310F4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2.报考人员学历学位为博士研究生学历及相应学位，可申请聘用至专业技术岗位十级及以下。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66AB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028-86622850</w:t>
            </w:r>
          </w:p>
        </w:tc>
      </w:tr>
      <w:tr w14:paraId="76328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841B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四川省药品检验研究院（四川省医疗器械检测中心、四川养麝研究所）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8931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A0CF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药品检验</w:t>
            </w:r>
          </w:p>
          <w:p w14:paraId="7BB4E7F5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4A46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20002400100</w:t>
            </w: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6C70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260F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B92C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0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00A9C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药物分析学（100704）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药物化学（100701）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药学（1055）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生药学（100703）、制药工程（086002）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绿色化学（0703Z1）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2年及以上药品检验检测相关工作经历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9331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43C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5C8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8665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2708">
            <w:pPr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需参照《公务员录用体检特殊标准（试行）》进行体检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812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028-65189012</w:t>
            </w:r>
          </w:p>
        </w:tc>
      </w:tr>
      <w:tr w14:paraId="3A72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6FD7">
            <w:pPr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四川省药品检验研究院（四川省医疗器械检测中心、四川养麝研究所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8DA9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FACFA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药品检验</w:t>
            </w:r>
          </w:p>
          <w:p w14:paraId="25737312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E82C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20002400100</w:t>
            </w: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6FC2C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2C02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D66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7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8AB3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中药学(1056)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生药学（100703）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药物化学（100701）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8BB1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3BA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39F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FFB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5A5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6167">
            <w:pPr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需参照《公务员录用体检特殊标准（试行）》进行体检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4DE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028-65189012</w:t>
            </w:r>
          </w:p>
        </w:tc>
      </w:tr>
      <w:tr w14:paraId="4028D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64B0D">
            <w:pPr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四川省药品检验研究院（四川省医疗器械检测中心、四川养麝研究所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60EDE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BE06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微生物检验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08B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2000240010</w:t>
            </w: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3ED4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0F5C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C802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AA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C243C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微生物学（071005）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药理学（100706）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生物化学与分子生物学（071010）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生物工程（085238）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2年及以上药品微生物检验、研究相关工作经历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B50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CA21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0CA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A3D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1F58">
            <w:pPr>
              <w:jc w:val="left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需参照《公务员录用体检特殊标准（试行）》进行体检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FDA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028-65189012</w:t>
            </w:r>
          </w:p>
        </w:tc>
      </w:tr>
      <w:tr w14:paraId="2EA46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4D0FB">
            <w:pPr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四川省药品检验研究院（四川省医疗器械检测中心、四川养麝研究所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4D6C5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62C5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财务会计</w:t>
            </w:r>
          </w:p>
          <w:p w14:paraId="25BA1E37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09A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2000240010</w:t>
            </w: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A3CE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3CED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235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71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9B126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会计学（120201）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会计（1253）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具有注册会计师证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3AB2A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511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D535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819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0562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137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028-65189012</w:t>
            </w:r>
          </w:p>
        </w:tc>
      </w:tr>
      <w:tr w14:paraId="725A4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D564F">
            <w:pPr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四川省药品检验研究院（四川省医疗器械检测中心、四川养麝研究所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E50B9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2374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财务会计</w:t>
            </w:r>
          </w:p>
          <w:p w14:paraId="32303922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3C3B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2000240010</w:t>
            </w: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45C40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EEE3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451A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20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CD6C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会计学（120201）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会计（1253）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B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1.具有注册会计师证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2.具有2年及以上财务相关工作经历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C6C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225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A20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67A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735E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FCA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028-65189012</w:t>
            </w:r>
          </w:p>
        </w:tc>
      </w:tr>
      <w:tr w14:paraId="21C02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72E2">
            <w:pPr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四川省药品检验研究院（四川省医疗器械检测中心、四川养麝研究所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DF8DFA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C47F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兽医A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5A8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2000240010</w:t>
            </w: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BC8A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D3AD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E422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9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A543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基础兽医（090601）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预防兽医（090602）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临床兽医（0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0603）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兽医（0952）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5B1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C7F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D4E1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A0C8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2ED5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D39DE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工作地点：都江堰市。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01A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028-65189012</w:t>
            </w:r>
          </w:p>
        </w:tc>
      </w:tr>
      <w:tr w14:paraId="6F1D3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0031">
            <w:pPr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四川省药品检验研究院（四川省医疗器械检测中心、四川养麝研究所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AC55F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D6D2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兽医B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38935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2000240010</w:t>
            </w: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CF6DF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6D7F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A95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8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6B8D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基础兽医（090601）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预防兽医（090602）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临床兽医（0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0603）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兽医（0952）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8E6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7BA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75B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224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6185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43E0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工作地点：阿坝州马尔康市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40B3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028-65189012</w:t>
            </w:r>
          </w:p>
        </w:tc>
      </w:tr>
      <w:tr w14:paraId="37E6A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B5AF9">
            <w:pPr>
              <w:jc w:val="center"/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四川省药品检验研究院（四川省医疗器械检测中心、四川养麝研究所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BD45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专业技术岗位十二级及以下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D2B5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动物繁育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4B9A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2000240010</w:t>
            </w: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A89E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FEF1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详见公告正文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6139A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1E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6451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动物遗传育种与繁殖（090501）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F7C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68A38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D05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05665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9C9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0CDE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工作地点：都江堰市。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FD8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028-65189012</w:t>
            </w:r>
          </w:p>
        </w:tc>
      </w:tr>
      <w:tr w14:paraId="07EE6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8AE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四川省食品药品学校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FCC58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专业技术岗位十级及以下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B8C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中医教师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B0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100024001001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FA7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FAEF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详见公告正文</w:t>
            </w:r>
          </w:p>
          <w:p w14:paraId="27AB626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D7D8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EF6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E052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中医诊断学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中医内科学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中医外科学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中医骨伤科学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中医妇科学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中医儿科学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中医五官科学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针灸推拿学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9B6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CCD2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3：1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F3C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《教育公共基础》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21B6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4E05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6AEE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工作地点：峨眉山市；高职院校储备师资。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2C2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bidi="ar"/>
              </w:rPr>
              <w:t>0833-5092333</w:t>
            </w:r>
          </w:p>
        </w:tc>
      </w:tr>
      <w:tr w14:paraId="07FEA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BA0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四川省食品药品学校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9B76D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专业技术岗位十级及以下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501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中药教师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D86E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100024001002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7C2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B30D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详见公告正文</w:t>
            </w:r>
          </w:p>
          <w:p w14:paraId="47BC416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188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C28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BB65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中药学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临床中药学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中药鉴定学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A71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EFF0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3：1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272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《教育公共基础》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8AD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BAA6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80C2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工作地点：峨眉山市；高职院校储备师资。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012C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bidi="ar"/>
              </w:rPr>
              <w:t>0833-5092333</w:t>
            </w:r>
          </w:p>
        </w:tc>
      </w:tr>
      <w:tr w14:paraId="64E2E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550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四川省食品药品学校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7E5345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专业技术岗位十级及以下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CB9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临床医学教师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5A88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100024001003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575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0328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详见公告正文</w:t>
            </w:r>
          </w:p>
          <w:p w14:paraId="1866D0EB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CDE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460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149C1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临床医学（一级学科）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A8D8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BDF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3：1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5B2A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《教育公共基础》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B5B2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D7B3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5A95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工作地点：峨眉山市；高职院校储备师资。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AFD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bidi="ar"/>
              </w:rPr>
              <w:t>0833-5092333</w:t>
            </w:r>
          </w:p>
        </w:tc>
      </w:tr>
      <w:tr w14:paraId="232C1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8448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四川省食品药品学校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B974F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专业技术岗位十级及以下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8CC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基础化学教师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2D232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100024001004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14A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3933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详见公告正文</w:t>
            </w:r>
          </w:p>
          <w:p w14:paraId="1E833A0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5D3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F555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C93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无机化学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分析化学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有机化学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物理化学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学科教学（化学）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E99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4A2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3：1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0A93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《教育公共基础》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24EB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320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AAD4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工作地点：峨眉山市；高职院校储备师资。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5B48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bidi="ar"/>
              </w:rPr>
              <w:t>0833-5092333</w:t>
            </w:r>
          </w:p>
        </w:tc>
      </w:tr>
      <w:tr w14:paraId="7425C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FA0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四川省食品药品学校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1EB48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专业技术岗位十级及以下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35A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中药制药教师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4512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100024001005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E8C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249A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详见公告正文</w:t>
            </w:r>
          </w:p>
          <w:p w14:paraId="0AEB28F5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B180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487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F63B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中药炮制学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中药药剂学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中药制剂学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中药分析学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E1EA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122B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3：1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057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《教育公共基础》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A93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7152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A2141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工作地点：峨眉山市；高职院校储备师资。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C711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bidi="ar"/>
              </w:rPr>
              <w:t>0833-5092333</w:t>
            </w:r>
          </w:p>
        </w:tc>
      </w:tr>
      <w:tr w14:paraId="16EE6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F76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四川省食品药品学校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F7766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专业技术岗位十级及以下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829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会计专业教师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6F99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100024001006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DC6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779A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详见公告正文</w:t>
            </w:r>
          </w:p>
          <w:p w14:paraId="5058E50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5FE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BD9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913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会计学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5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具有会计初级及以上专业技术资格或注册会计师资格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9B08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3：1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4172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《教育公共基础》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9DD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953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7B59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工作地点：峨眉山市；高职院校储备师资。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9B8B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bidi="ar"/>
              </w:rPr>
              <w:t>0833-5092333</w:t>
            </w:r>
          </w:p>
        </w:tc>
      </w:tr>
      <w:tr w14:paraId="511E9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EA8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四川省食品药品学校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4B185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专业技术岗位十级及以下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AC64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思政教师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E386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100024001007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A6A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6B35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详见公告正文</w:t>
            </w:r>
          </w:p>
          <w:p w14:paraId="3911028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D3C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0FF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1BF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马克思主义理论（一级学科）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具有中等职业学校(高级中学)及以上教师资格证。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478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3：1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1D1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《教育公共基础》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FAC4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785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EA581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工作地点：峨眉山市；高职院校储备师资。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A6D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bidi="ar"/>
              </w:rPr>
              <w:t>0833-5092333</w:t>
            </w:r>
          </w:p>
        </w:tc>
      </w:tr>
      <w:tr w14:paraId="5AF4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175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四川省食品药品学校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C1CD5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专业技术岗位十级及以下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E372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语文教师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7769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100024001008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CEE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65FA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详见公告正文</w:t>
            </w:r>
          </w:p>
          <w:p w14:paraId="030D8DD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81C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E7E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79A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中国语言文学（一级学科）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具有中等职业学校(高级中学)及以上教师资格证。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8D5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3：1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26E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《教育公共基础》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846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988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2AF6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工作地点：峨眉山市；高职院校储备师资。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DE61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bidi="ar"/>
              </w:rPr>
              <w:t>0833-5092333</w:t>
            </w:r>
          </w:p>
        </w:tc>
      </w:tr>
      <w:tr w14:paraId="0ED1B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66C5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四川省食品药品学校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EFFF6A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专业技术岗位十级及以下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174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体育教师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D66C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100024001009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CBBD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2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B6BB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详见公告正文</w:t>
            </w:r>
          </w:p>
          <w:p w14:paraId="76CAC798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82D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214A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209B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体育教学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体育教育训练学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体育教育学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学科教学（体育）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体育学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E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具有中等职业学校(高级中学)及以上教师资格证。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0D8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3：1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B99EA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《教育公共基础》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ED5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2FCE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64D1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工作地点：峨眉山市；高职院校储备师资。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00C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bidi="ar"/>
              </w:rPr>
              <w:t>0833-5092333</w:t>
            </w:r>
          </w:p>
        </w:tc>
      </w:tr>
      <w:tr w14:paraId="341B6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FC3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四川省食品药品学校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B0EA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专业技术岗位十级及以下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3DF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生物教师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CF9B">
            <w:pPr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  <w:t>100024001010</w:t>
            </w:r>
          </w:p>
        </w:tc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08D8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4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298B">
            <w:pPr>
              <w:jc w:val="center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详见公告正文</w:t>
            </w:r>
          </w:p>
          <w:p w14:paraId="175431A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44E6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1984年3月17日及以后出生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47B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研究生学历及以上相应学位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9FD4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生物学（一级学科）</w:t>
            </w:r>
            <w:r>
              <w:rPr>
                <w:rFonts w:hint="eastAsia" w:ascii="Times New Roman" w:hAnsi="Times New Roman" w:eastAsia="方正仿宋_GB2312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学科教学（生物）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AEFA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19D0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3：1</w:t>
            </w: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F372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《教育公共基础》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79C0C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54E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3:1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58A7">
            <w:pPr>
              <w:jc w:val="left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工作地点：峨眉山市；高职院校储备师资。</w:t>
            </w:r>
          </w:p>
        </w:tc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137B7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  <w:lang w:bidi="ar"/>
              </w:rPr>
              <w:t>0833-5092333</w:t>
            </w:r>
          </w:p>
        </w:tc>
      </w:tr>
    </w:tbl>
    <w:p w14:paraId="35CE0389">
      <w:pPr>
        <w:rPr>
          <w:rFonts w:hint="default" w:ascii="Times New Roman" w:hAnsi="Times New Roman" w:eastAsia="方正楷体_GB2312" w:cs="Times New Roman"/>
          <w:sz w:val="24"/>
        </w:rPr>
      </w:pPr>
      <w:r>
        <w:rPr>
          <w:rFonts w:hint="eastAsia" w:ascii="楷体_GB2312" w:eastAsia="楷体_GB2312"/>
          <w:sz w:val="24"/>
        </w:rPr>
        <w:t>注：</w:t>
      </w:r>
      <w:r>
        <w:rPr>
          <w:rFonts w:hint="default" w:ascii="Times New Roman" w:hAnsi="Times New Roman" w:eastAsia="楷体_GB2312" w:cs="Times New Roman"/>
          <w:sz w:val="24"/>
          <w:lang w:val="en-US" w:eastAsia="zh-CN"/>
        </w:rPr>
        <w:t>1.</w:t>
      </w:r>
      <w:r>
        <w:rPr>
          <w:rFonts w:hint="default" w:ascii="Times New Roman" w:hAnsi="Times New Roman" w:eastAsia="方正楷体_GB2312" w:cs="Times New Roman"/>
          <w:sz w:val="24"/>
        </w:rPr>
        <w:t>本表各岗位相关的其他条件及要求请见本公告正文。</w:t>
      </w:r>
    </w:p>
    <w:p w14:paraId="0F753686">
      <w:pPr>
        <w:ind w:firstLine="480" w:firstLineChars="200"/>
        <w:rPr>
          <w:rFonts w:hint="default" w:ascii="Times New Roman" w:hAnsi="Times New Roman" w:eastAsia="方正楷体_GB2312" w:cs="Times New Roman"/>
          <w:color w:val="auto"/>
          <w:sz w:val="24"/>
        </w:rPr>
      </w:pPr>
      <w:r>
        <w:rPr>
          <w:rFonts w:hint="default" w:ascii="Times New Roman" w:hAnsi="Times New Roman" w:eastAsia="方正楷体_GB2312" w:cs="Times New Roman"/>
          <w:sz w:val="24"/>
          <w:lang w:val="en-US" w:eastAsia="zh-CN"/>
        </w:rPr>
        <w:t>2.</w:t>
      </w:r>
      <w:r>
        <w:rPr>
          <w:rFonts w:hint="default" w:ascii="Times New Roman" w:hAnsi="Times New Roman" w:eastAsia="方正楷体_GB2312" w:cs="Times New Roman"/>
          <w:sz w:val="24"/>
        </w:rPr>
        <w:t>退役军</w:t>
      </w:r>
      <w:r>
        <w:rPr>
          <w:rFonts w:hint="default" w:ascii="Times New Roman" w:hAnsi="Times New Roman" w:eastAsia="方正楷体_GB2312" w:cs="Times New Roman"/>
          <w:color w:val="auto"/>
          <w:sz w:val="24"/>
        </w:rPr>
        <w:t>人可在本表表述的年龄基础上再放宽2周岁。</w:t>
      </w:r>
    </w:p>
    <w:p w14:paraId="303AC08D">
      <w:pPr>
        <w:ind w:firstLine="480" w:firstLineChars="200"/>
        <w:rPr>
          <w:rFonts w:hint="default" w:ascii="Times New Roman" w:hAnsi="Times New Roman" w:eastAsia="方正楷体_GB2312" w:cs="Times New Roman"/>
          <w:color w:val="auto"/>
        </w:rPr>
      </w:pPr>
      <w:r>
        <w:rPr>
          <w:rFonts w:hint="default" w:ascii="Times New Roman" w:hAnsi="Times New Roman" w:eastAsia="方正楷体_GB2312" w:cs="Times New Roman"/>
          <w:bCs/>
          <w:color w:val="auto"/>
          <w:sz w:val="24"/>
          <w:lang w:val="en-US" w:eastAsia="zh-CN"/>
        </w:rPr>
        <w:t>3.</w:t>
      </w:r>
      <w:r>
        <w:rPr>
          <w:rFonts w:hint="default" w:ascii="Times New Roman" w:hAnsi="Times New Roman" w:eastAsia="方正楷体_GB2312" w:cs="Times New Roman"/>
          <w:bCs/>
          <w:color w:val="auto"/>
          <w:sz w:val="24"/>
        </w:rPr>
        <w:t>本表中相关工作经历不包含在校实习经历。</w:t>
      </w:r>
    </w:p>
    <w:p w14:paraId="2A9DB3EC">
      <w:pPr>
        <w:ind w:firstLine="480" w:firstLineChars="200"/>
        <w:rPr>
          <w:rFonts w:hint="eastAsia" w:ascii="Times New Roman" w:hAnsi="Times New Roman" w:eastAsia="方正楷体_GB2312" w:cs="Times New Roman"/>
          <w:highlight w:val="none"/>
          <w:lang w:val="en-US" w:eastAsia="zh-CN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pgNumType w:fmt="decimal"/>
          <w:cols w:space="720" w:num="1"/>
          <w:rtlGutter w:val="0"/>
          <w:docGrid w:linePitch="312" w:charSpace="0"/>
        </w:sectPr>
      </w:pPr>
      <w:r>
        <w:rPr>
          <w:rFonts w:hint="default" w:ascii="Times New Roman" w:hAnsi="Times New Roman" w:eastAsia="方正楷体_GB2312" w:cs="Times New Roman"/>
          <w:bCs/>
          <w:color w:val="auto"/>
          <w:sz w:val="24"/>
          <w:lang w:val="en-US" w:eastAsia="zh-CN"/>
        </w:rPr>
        <w:t>4.</w:t>
      </w:r>
      <w:r>
        <w:rPr>
          <w:rFonts w:hint="default" w:ascii="Times New Roman" w:hAnsi="Times New Roman" w:eastAsia="方正楷体_GB2312" w:cs="Times New Roman"/>
          <w:bCs/>
          <w:color w:val="auto"/>
          <w:sz w:val="24"/>
        </w:rPr>
        <w:t>专业条件中标明“一级学科”以外的其余专业均为国家研究生学科、专</w:t>
      </w:r>
      <w:r>
        <w:rPr>
          <w:rFonts w:hint="eastAsia" w:ascii="方正楷体_GB2312" w:hAnsi="方正楷体_GB2312" w:eastAsia="方正楷体_GB2312" w:cs="方正楷体_GB2312"/>
          <w:bCs/>
          <w:color w:val="auto"/>
          <w:sz w:val="24"/>
        </w:rPr>
        <w:t>业目录中的“二级学科”</w:t>
      </w:r>
      <w:r>
        <w:rPr>
          <w:rFonts w:hint="eastAsia" w:ascii="方正楷体_GB2312" w:hAnsi="方正楷体_GB2312" w:eastAsia="方正楷体_GB2312" w:cs="方正楷体_GB2312"/>
          <w:bCs/>
          <w:color w:val="auto"/>
          <w:sz w:val="24"/>
          <w:lang w:eastAsia="zh-CN"/>
        </w:rPr>
        <w:t>。</w:t>
      </w:r>
    </w:p>
    <w:p w14:paraId="24FC34D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C0EEA">
    <w:pPr>
      <w:pStyle w:val="2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1FFBC">
                          <w:pPr>
                            <w:pStyle w:val="2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57NV50wAAAAYBAAAPAAAAAAAA&#10;AAEAIAAAACIAAABkcnMvZG93bnJldi54bWxQSwECFAAUAAAACACHTuJAlL20894BAAC+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C1FFBC">
                    <w:pPr>
                      <w:pStyle w:val="2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7E349">
    <w:pPr>
      <w:pStyle w:val="2"/>
      <w:rPr>
        <w:rFonts w:hint="eastAsia"/>
        <w:sz w:val="24"/>
        <w:szCs w:val="24"/>
      </w:rPr>
    </w:pPr>
    <w:r>
      <w:rPr>
        <w:rFonts w:hint="eastAsia" w:ascii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20</w:t>
    </w:r>
    <w:r>
      <w:rPr>
        <w:sz w:val="24"/>
        <w:szCs w:val="24"/>
      </w:rPr>
      <w:fldChar w:fldCharType="end"/>
    </w:r>
    <w:r>
      <w:rPr>
        <w:rFonts w:hint="eastAsia" w:ascii="宋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A7A204C"/>
    <w:rsid w:val="7A7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2026-03-11T07:59:00Z</dcterms:created>
  <dc:creator>Primadonna</dc:creator>
  <cp:lastModifiedBy>Primadonna</cp:lastModifiedBy>
  <dcterms:modified xsi:type="dcterms:W3CDTF">2026-03-11T08:00:04Z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4276B709370D4C43B7678DB59267C260_11</vt:lpwstr>
  </property>
</Properties>
</file>