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napToGrid/>
        <w:spacing w:after="157" w:afterLines="50" w:line="560" w:lineRule="exact"/>
        <w:ind w:left="0" w:leftChars="0"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Style w:val="3"/>
        <w:spacing w:afterLines="50" w:line="560" w:lineRule="exact"/>
        <w:ind w:firstLine="0"/>
        <w:jc w:val="center"/>
        <w:rPr>
          <w:rFonts w:ascii="方正小标宋简体" w:hAnsi="方正小标宋简体" w:eastAsia="方正小标宋简体" w:cs="方正小标宋简体"/>
          <w:sz w:val="44"/>
          <w:szCs w:val="44"/>
        </w:rPr>
      </w:pPr>
      <w:r>
        <w:rPr>
          <w:rFonts w:hint="eastAsia" w:ascii="小标宋" w:hAnsi="小标宋" w:eastAsia="小标宋" w:cs="小标宋"/>
          <w:sz w:val="44"/>
          <w:szCs w:val="44"/>
        </w:rPr>
        <w:t>中国能建广西工程局公开招聘岗位及资格条件一览表</w:t>
      </w:r>
    </w:p>
    <w:tbl>
      <w:tblPr>
        <w:tblStyle w:val="7"/>
        <w:tblW w:w="140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257"/>
        <w:gridCol w:w="830"/>
        <w:gridCol w:w="5461"/>
        <w:gridCol w:w="5189"/>
        <w:gridCol w:w="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blHeader/>
        </w:trPr>
        <w:tc>
          <w:tcPr>
            <w:tcW w:w="745" w:type="dxa"/>
            <w:vAlign w:val="center"/>
          </w:tcPr>
          <w:p>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color w:val="auto"/>
                <w:kern w:val="0"/>
                <w:sz w:val="24"/>
                <w:szCs w:val="24"/>
                <w:highlight w:val="none"/>
              </w:rPr>
              <w:t>序号</w:t>
            </w:r>
          </w:p>
        </w:tc>
        <w:tc>
          <w:tcPr>
            <w:tcW w:w="1257" w:type="dxa"/>
            <w:vAlign w:val="center"/>
          </w:tcPr>
          <w:p>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color w:val="auto"/>
                <w:kern w:val="0"/>
                <w:sz w:val="24"/>
                <w:szCs w:val="24"/>
                <w:highlight w:val="none"/>
              </w:rPr>
              <w:t>岗位</w:t>
            </w:r>
          </w:p>
        </w:tc>
        <w:tc>
          <w:tcPr>
            <w:tcW w:w="830" w:type="dxa"/>
            <w:vAlign w:val="center"/>
          </w:tcPr>
          <w:p>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color w:val="auto"/>
                <w:kern w:val="0"/>
                <w:sz w:val="24"/>
                <w:szCs w:val="24"/>
                <w:highlight w:val="none"/>
              </w:rPr>
              <w:t>人数</w:t>
            </w:r>
          </w:p>
        </w:tc>
        <w:tc>
          <w:tcPr>
            <w:tcW w:w="5461" w:type="dxa"/>
            <w:vAlign w:val="center"/>
          </w:tcPr>
          <w:p>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color w:val="auto"/>
                <w:kern w:val="0"/>
                <w:sz w:val="24"/>
                <w:szCs w:val="24"/>
                <w:highlight w:val="none"/>
              </w:rPr>
              <w:t>任职资格要求</w:t>
            </w:r>
          </w:p>
        </w:tc>
        <w:tc>
          <w:tcPr>
            <w:tcW w:w="5189" w:type="dxa"/>
            <w:vAlign w:val="center"/>
          </w:tcPr>
          <w:p>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color w:val="auto"/>
                <w:kern w:val="0"/>
                <w:sz w:val="24"/>
                <w:szCs w:val="24"/>
                <w:highlight w:val="none"/>
              </w:rPr>
              <w:t>岗位职责</w:t>
            </w:r>
          </w:p>
        </w:tc>
        <w:tc>
          <w:tcPr>
            <w:tcW w:w="600" w:type="dxa"/>
            <w:vAlign w:val="center"/>
          </w:tcPr>
          <w:p>
            <w:pPr>
              <w:widowControl/>
              <w:jc w:val="center"/>
              <w:textAlignment w:val="center"/>
              <w:rPr>
                <w:rFonts w:hint="eastAsia" w:ascii="仿宋" w:hAnsi="仿宋" w:eastAsia="仿宋" w:cs="仿宋"/>
                <w:b/>
                <w:bCs/>
                <w:color w:val="auto"/>
                <w:sz w:val="24"/>
                <w:szCs w:val="24"/>
                <w:highlight w:val="none"/>
              </w:rPr>
            </w:pPr>
            <w:r>
              <w:rPr>
                <w:rFonts w:hint="eastAsia" w:ascii="仿宋" w:hAnsi="仿宋" w:eastAsia="仿宋" w:cs="仿宋"/>
                <w:b/>
                <w:color w:val="auto"/>
                <w:kern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0" w:hRule="atLeast"/>
        </w:trPr>
        <w:tc>
          <w:tcPr>
            <w:tcW w:w="74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000000"/>
                <w:kern w:val="0"/>
                <w:sz w:val="24"/>
                <w:szCs w:val="24"/>
                <w:lang w:val="en-US" w:eastAsia="zh-CN" w:bidi="ar-SA"/>
              </w:rPr>
            </w:pPr>
            <w:bookmarkStart w:id="0" w:name="OLE_LINK3" w:colFirst="0" w:colLast="4"/>
            <w:r>
              <w:rPr>
                <w:rFonts w:hint="eastAsia" w:ascii="仿宋" w:hAnsi="仿宋" w:eastAsia="仿宋" w:cs="仿宋"/>
                <w:color w:val="000000"/>
                <w:kern w:val="0"/>
                <w:sz w:val="24"/>
                <w:szCs w:val="24"/>
                <w:lang w:val="en-US" w:eastAsia="zh-CN"/>
              </w:rPr>
              <w:t>1</w:t>
            </w:r>
          </w:p>
        </w:tc>
        <w:tc>
          <w:tcPr>
            <w:tcW w:w="125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eastAsia="zh-CN"/>
              </w:rPr>
              <w:t>中国能源建设集团广西水电工程局有限公司</w:t>
            </w:r>
            <w:r>
              <w:rPr>
                <w:rFonts w:hint="eastAsia" w:ascii="仿宋" w:hAnsi="仿宋" w:eastAsia="仿宋" w:cs="仿宋"/>
                <w:kern w:val="0"/>
                <w:sz w:val="24"/>
                <w:szCs w:val="24"/>
                <w:lang w:val="en-US" w:eastAsia="zh-CN"/>
              </w:rPr>
              <w:t>党群工作部（党委宣传部、党委巡察办、工会工作部、团委）副主任</w:t>
            </w:r>
            <w:r>
              <w:rPr>
                <w:rFonts w:hint="eastAsia" w:ascii="仿宋" w:hAnsi="仿宋" w:eastAsia="仿宋" w:cs="仿宋"/>
                <w:kern w:val="0"/>
                <w:sz w:val="24"/>
                <w:szCs w:val="24"/>
                <w:lang w:eastAsia="zh-CN"/>
              </w:rPr>
              <w:t>（8级）</w:t>
            </w:r>
          </w:p>
        </w:tc>
        <w:tc>
          <w:tcPr>
            <w:tcW w:w="8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1人</w:t>
            </w:r>
          </w:p>
        </w:tc>
        <w:tc>
          <w:tcPr>
            <w:tcW w:w="546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1.大学本科及以上文化程度。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rPr>
            </w:pPr>
            <w:r>
              <w:rPr>
                <w:rFonts w:hint="eastAsia" w:ascii="仿宋" w:hAnsi="仿宋" w:eastAsia="仿宋" w:cs="仿宋"/>
                <w:color w:val="000000"/>
                <w:kern w:val="0"/>
                <w:sz w:val="24"/>
                <w:szCs w:val="24"/>
              </w:rPr>
              <w:t>2.中级及以上职称或相关职</w:t>
            </w:r>
            <w:r>
              <w:rPr>
                <w:rFonts w:hint="eastAsia" w:ascii="仿宋" w:hAnsi="仿宋" w:eastAsia="仿宋" w:cs="仿宋"/>
                <w:color w:val="000000"/>
                <w:kern w:val="0"/>
                <w:sz w:val="24"/>
                <w:szCs w:val="24"/>
                <w:lang w:eastAsia="zh-CN"/>
              </w:rPr>
              <w:t>（执）</w:t>
            </w:r>
            <w:r>
              <w:rPr>
                <w:rFonts w:hint="eastAsia" w:ascii="仿宋" w:hAnsi="仿宋" w:eastAsia="仿宋" w:cs="仿宋"/>
                <w:color w:val="000000"/>
                <w:kern w:val="0"/>
                <w:sz w:val="24"/>
                <w:szCs w:val="24"/>
              </w:rPr>
              <w:t>业资格。</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3.应为中共</w:t>
            </w:r>
            <w:r>
              <w:rPr>
                <w:rFonts w:hint="default" w:ascii="仿宋" w:hAnsi="仿宋" w:eastAsia="仿宋" w:cs="仿宋"/>
                <w:color w:val="auto"/>
                <w:kern w:val="0"/>
                <w:sz w:val="24"/>
                <w:szCs w:val="24"/>
                <w:lang w:val="en-US" w:eastAsia="zh-CN"/>
              </w:rPr>
              <w:t>正式</w:t>
            </w:r>
            <w:r>
              <w:rPr>
                <w:rFonts w:hint="eastAsia" w:ascii="仿宋" w:hAnsi="仿宋" w:eastAsia="仿宋" w:cs="仿宋"/>
                <w:color w:val="auto"/>
                <w:kern w:val="0"/>
                <w:sz w:val="24"/>
                <w:szCs w:val="24"/>
                <w:lang w:val="en-US" w:eastAsia="zh-CN"/>
              </w:rPr>
              <w:t>党员。</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4</w:t>
            </w:r>
            <w:r>
              <w:rPr>
                <w:rFonts w:hint="eastAsia" w:ascii="仿宋" w:hAnsi="仿宋" w:eastAsia="仿宋" w:cs="仿宋"/>
                <w:color w:val="auto"/>
                <w:kern w:val="0"/>
                <w:sz w:val="24"/>
                <w:szCs w:val="24"/>
              </w:rPr>
              <w:t>.年龄不超过45周岁（1981年8月1日之后出生）。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000000"/>
                <w:kern w:val="0"/>
                <w:sz w:val="24"/>
                <w:szCs w:val="24"/>
              </w:rPr>
            </w:pP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val="en-US" w:eastAsia="zh-CN"/>
              </w:rPr>
              <w:t>具有</w:t>
            </w:r>
            <w:r>
              <w:rPr>
                <w:rFonts w:hint="default"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lang w:val="en-US" w:eastAsia="zh-CN"/>
              </w:rPr>
              <w:t>年及</w:t>
            </w:r>
            <w:r>
              <w:rPr>
                <w:rFonts w:hint="eastAsia" w:ascii="仿宋" w:hAnsi="仿宋" w:eastAsia="仿宋" w:cs="仿宋"/>
                <w:color w:val="000000"/>
                <w:kern w:val="0"/>
                <w:sz w:val="24"/>
                <w:szCs w:val="24"/>
                <w:lang w:val="en-US" w:eastAsia="zh-CN"/>
              </w:rPr>
              <w:t>以上</w:t>
            </w:r>
            <w:r>
              <w:rPr>
                <w:rFonts w:hint="eastAsia" w:ascii="仿宋" w:hAnsi="仿宋" w:eastAsia="仿宋" w:cs="仿宋"/>
                <w:color w:val="000000"/>
                <w:kern w:val="0"/>
                <w:sz w:val="24"/>
                <w:szCs w:val="24"/>
              </w:rPr>
              <w:t>党务、党建、宣传、群团、纪检等相关岗位工作经历。</w:t>
            </w:r>
            <w:bookmarkStart w:id="1" w:name="_GoBack"/>
            <w:bookmarkEnd w:id="1"/>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涉及提拔的，应当在现岗级9-1级及以上岗位工作2年以上，未满2年但特别优秀的应当在现岗级9-1级岗位和9-2级岗位工作累计4年以上。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7.担任过同职级的干部参加竞聘的，不受上述年龄、学历和专业技术资格条件限制。</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8</w:t>
            </w:r>
            <w:r>
              <w:rPr>
                <w:rFonts w:hint="eastAsia" w:ascii="仿宋" w:hAnsi="仿宋" w:eastAsia="仿宋" w:cs="仿宋"/>
                <w:color w:val="000000"/>
                <w:kern w:val="0"/>
                <w:sz w:val="24"/>
                <w:szCs w:val="24"/>
              </w:rPr>
              <w:t>.具有扎实的党史党建基本理论知识和较高的政治理论水平，熟悉党章党规党纪</w:t>
            </w:r>
            <w:r>
              <w:rPr>
                <w:rFonts w:hint="default" w:ascii="仿宋" w:hAnsi="仿宋" w:eastAsia="仿宋" w:cs="仿宋"/>
                <w:color w:val="000000"/>
                <w:kern w:val="0"/>
                <w:sz w:val="24"/>
                <w:szCs w:val="24"/>
                <w:lang w:val="en-US"/>
              </w:rPr>
              <w:t>及</w:t>
            </w:r>
            <w:r>
              <w:rPr>
                <w:rFonts w:hint="eastAsia" w:ascii="仿宋" w:hAnsi="仿宋" w:eastAsia="仿宋" w:cs="仿宋"/>
                <w:color w:val="000000"/>
                <w:kern w:val="0"/>
                <w:sz w:val="24"/>
                <w:szCs w:val="24"/>
              </w:rPr>
              <w:t>党建工作流程。</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default" w:ascii="仿宋" w:hAnsi="仿宋" w:eastAsia="仿宋" w:cs="仿宋"/>
                <w:kern w:val="0"/>
                <w:sz w:val="24"/>
                <w:szCs w:val="24"/>
                <w:lang w:val="en-US" w:eastAsia="zh-CN" w:bidi="ar-SA"/>
              </w:rPr>
            </w:pPr>
            <w:r>
              <w:rPr>
                <w:rFonts w:hint="eastAsia" w:ascii="仿宋" w:hAnsi="仿宋" w:eastAsia="仿宋" w:cs="仿宋"/>
                <w:color w:val="000000"/>
                <w:kern w:val="0"/>
                <w:sz w:val="24"/>
                <w:szCs w:val="24"/>
                <w:lang w:val="en-US" w:eastAsia="zh-CN"/>
              </w:rPr>
              <w:t>9.具有较强的文字写作能力，能独立撰写重要公文、总结、报告、方案等综合性文字材料，具有较强的组织协调能力、沟通表达能力和统筹推进能力，能有效协调各类资源，善于应对全局性和复杂问题。</w:t>
            </w:r>
          </w:p>
        </w:tc>
        <w:tc>
          <w:tcPr>
            <w:tcW w:w="518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1.协助部门主任统筹部门工作，负责公司党建工作的规划与执行。</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2.负责推进党建制度体系建设，组织起草和修订党建规划、要点、制度，制定党委年度工作计划、总结及有关党建工作重要文稿。</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3.负责落实党建工作责任制，组织开展党建考核、督促检查各党支部党建及党风廉政建设工作，组织年度民主生活会、党建工作会等会议。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4.负责公司党组织建设工作，指导基层党组织换届选举，指导基层党组织开展“三会一课”、组织生活会、民主评议党员、主题党日等党内组织生活，开展基层党建的指导、检查、考核、评比表彰等工作。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5.负责宣传党的路线、方针、政策和公司党委决策，负责公司意识形态工作责任制落实、精神文明建设等工作。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6.协助落实上级巡视机构以及公司党委、党委巡察工作领导小组关于巡视巡察的决策和部署</w:t>
            </w:r>
            <w:r>
              <w:rPr>
                <w:rFonts w:hint="default" w:ascii="仿宋" w:hAnsi="仿宋" w:eastAsia="仿宋" w:cs="仿宋"/>
                <w:kern w:val="2"/>
                <w:sz w:val="24"/>
                <w:szCs w:val="24"/>
                <w:lang w:val="en-US" w:eastAsia="zh-CN" w:bidi="ar-SA"/>
              </w:rPr>
              <w:t>，协调推进巡察整改工作。</w:t>
            </w:r>
            <w:r>
              <w:rPr>
                <w:rFonts w:hint="eastAsia" w:ascii="仿宋" w:hAnsi="仿宋" w:eastAsia="仿宋" w:cs="仿宋"/>
                <w:kern w:val="2"/>
                <w:sz w:val="24"/>
                <w:szCs w:val="24"/>
                <w:lang w:val="en-US" w:eastAsia="zh-CN" w:bidi="ar-SA"/>
              </w:rPr>
              <w:t>负责指导下属单位对巡视巡察发现的问题及时整改。撰写巡视巡察</w:t>
            </w:r>
            <w:r>
              <w:rPr>
                <w:rFonts w:hint="default" w:ascii="仿宋" w:hAnsi="仿宋" w:eastAsia="仿宋" w:cs="仿宋"/>
                <w:kern w:val="2"/>
                <w:sz w:val="24"/>
                <w:szCs w:val="24"/>
                <w:lang w:val="en-US" w:eastAsia="zh-CN" w:bidi="ar-SA"/>
              </w:rPr>
              <w:t>整改</w:t>
            </w:r>
            <w:r>
              <w:rPr>
                <w:rFonts w:hint="eastAsia" w:ascii="仿宋" w:hAnsi="仿宋" w:eastAsia="仿宋" w:cs="仿宋"/>
                <w:kern w:val="2"/>
                <w:sz w:val="24"/>
                <w:szCs w:val="24"/>
                <w:lang w:val="en-US" w:eastAsia="zh-CN" w:bidi="ar-SA"/>
              </w:rPr>
              <w:t>情况报告等。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7.完成领导交办的其他工作。</w:t>
            </w:r>
          </w:p>
        </w:tc>
        <w:tc>
          <w:tcPr>
            <w:tcW w:w="60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00000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0" w:hRule="atLeast"/>
        </w:trPr>
        <w:tc>
          <w:tcPr>
            <w:tcW w:w="74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2</w:t>
            </w:r>
          </w:p>
        </w:tc>
        <w:tc>
          <w:tcPr>
            <w:tcW w:w="125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中国能源建设集团广西水电工程局有限公司商务管理部副主任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highlight w:val="none"/>
                <w:lang w:val="en-US" w:eastAsia="zh-CN"/>
              </w:rPr>
              <w:t>（8级）</w:t>
            </w:r>
          </w:p>
        </w:tc>
        <w:tc>
          <w:tcPr>
            <w:tcW w:w="8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1人</w:t>
            </w:r>
          </w:p>
        </w:tc>
        <w:tc>
          <w:tcPr>
            <w:tcW w:w="546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1.相关专业大学本科及以上文化程度。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2.相关专业中级及以上职称或相关职</w:t>
            </w:r>
            <w:r>
              <w:rPr>
                <w:rFonts w:hint="eastAsia" w:ascii="仿宋" w:hAnsi="仿宋" w:eastAsia="仿宋" w:cs="仿宋"/>
                <w:color w:val="auto"/>
                <w:kern w:val="0"/>
                <w:sz w:val="24"/>
                <w:szCs w:val="24"/>
                <w:lang w:eastAsia="zh-CN"/>
              </w:rPr>
              <w:t>（执）</w:t>
            </w:r>
            <w:r>
              <w:rPr>
                <w:rFonts w:hint="eastAsia" w:ascii="仿宋" w:hAnsi="仿宋" w:eastAsia="仿宋" w:cs="仿宋"/>
                <w:color w:val="auto"/>
                <w:kern w:val="0"/>
                <w:sz w:val="24"/>
                <w:szCs w:val="24"/>
              </w:rPr>
              <w:t>业资格。</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3.年龄不超过</w:t>
            </w:r>
            <w:r>
              <w:rPr>
                <w:rFonts w:hint="eastAsia" w:ascii="仿宋" w:hAnsi="仿宋" w:eastAsia="仿宋" w:cs="仿宋"/>
                <w:color w:val="auto"/>
                <w:kern w:val="0"/>
                <w:sz w:val="24"/>
                <w:szCs w:val="24"/>
                <w:lang w:val="en-US" w:eastAsia="zh-CN"/>
              </w:rPr>
              <w:t>45</w:t>
            </w:r>
            <w:r>
              <w:rPr>
                <w:rFonts w:hint="eastAsia" w:ascii="仿宋" w:hAnsi="仿宋" w:eastAsia="仿宋" w:cs="仿宋"/>
                <w:color w:val="auto"/>
                <w:kern w:val="0"/>
                <w:sz w:val="24"/>
                <w:szCs w:val="24"/>
              </w:rPr>
              <w:t>周岁（19</w:t>
            </w:r>
            <w:r>
              <w:rPr>
                <w:rFonts w:hint="eastAsia" w:ascii="仿宋" w:hAnsi="仿宋" w:eastAsia="仿宋" w:cs="仿宋"/>
                <w:color w:val="auto"/>
                <w:kern w:val="0"/>
                <w:sz w:val="24"/>
                <w:szCs w:val="24"/>
                <w:lang w:val="en-US" w:eastAsia="zh-CN"/>
              </w:rPr>
              <w:t>81</w:t>
            </w:r>
            <w:r>
              <w:rPr>
                <w:rFonts w:hint="eastAsia" w:ascii="仿宋" w:hAnsi="仿宋" w:eastAsia="仿宋" w:cs="仿宋"/>
                <w:color w:val="auto"/>
                <w:kern w:val="0"/>
                <w:sz w:val="24"/>
                <w:szCs w:val="24"/>
              </w:rPr>
              <w:t>年</w:t>
            </w: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rPr>
              <w:t>月1日之后出生）。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w:t>
            </w: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rPr>
              <w:t>年以上相关岗位工作经历。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5.</w:t>
            </w:r>
            <w:r>
              <w:rPr>
                <w:rFonts w:hint="eastAsia" w:ascii="仿宋" w:hAnsi="仿宋" w:eastAsia="仿宋" w:cs="仿宋"/>
                <w:color w:val="auto"/>
                <w:kern w:val="0"/>
                <w:sz w:val="24"/>
                <w:szCs w:val="24"/>
                <w:lang w:val="en-US" w:eastAsia="zh-CN"/>
              </w:rPr>
              <w:t>涉及提拔的，应当在现岗级9-1级及以上岗位工作2年以上，未满2年但特别优秀的应当在现岗级9-1级岗位和9-2级岗位工作累计4年以上。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6.担任过同职级的干部参加竞聘的，不受上述年龄、学历和专业技术资格条件限制。</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default"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rPr>
              <w:t>.具有较强的调查研究能力、计划能力、综合协调能力和沟通能力，能有效协调各类资源，善于应对全局性和复杂问题。</w:t>
            </w:r>
          </w:p>
        </w:tc>
        <w:tc>
          <w:tcPr>
            <w:tcW w:w="518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1.负责审核项目管理目标责任书经济指标。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2.负责审核所属单位成本指标完成情况的考核结果。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3.负责组织召开公司季度及年度成本分析会。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4.负责审核投标项目成本测算的复核结果。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5.负责复审变更索赔审核结果。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6.负责复审采购限价。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7.负责审核公司成本管理相关制度。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8.负责审核公司成本库、能建内部成本定额等建设、修订工作成果。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9.参与审核全面预算。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highlight w:val="none"/>
                <w:lang w:val="en-US" w:eastAsia="zh-CN"/>
              </w:rPr>
              <w:t>10.完成领导交办的其他工作。</w:t>
            </w:r>
          </w:p>
        </w:tc>
        <w:tc>
          <w:tcPr>
            <w:tcW w:w="60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00000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8" w:hRule="atLeast"/>
        </w:trPr>
        <w:tc>
          <w:tcPr>
            <w:tcW w:w="74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3</w:t>
            </w:r>
          </w:p>
        </w:tc>
        <w:tc>
          <w:tcPr>
            <w:tcW w:w="125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eastAsia="zh-CN"/>
              </w:rPr>
              <w:t>中国能源建设集团广西水电工程局有限公司生产与项目管理事业部副总经理（8级）</w:t>
            </w:r>
          </w:p>
        </w:tc>
        <w:tc>
          <w:tcPr>
            <w:tcW w:w="83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1人</w:t>
            </w:r>
          </w:p>
        </w:tc>
        <w:tc>
          <w:tcPr>
            <w:tcW w:w="546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1.相关专业大学本科及以上文化程度。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2.相关专业中级及以上职称或相关职</w:t>
            </w:r>
            <w:r>
              <w:rPr>
                <w:rFonts w:hint="eastAsia" w:ascii="仿宋" w:hAnsi="仿宋" w:eastAsia="仿宋" w:cs="仿宋"/>
                <w:color w:val="auto"/>
                <w:kern w:val="0"/>
                <w:sz w:val="24"/>
                <w:szCs w:val="24"/>
                <w:lang w:eastAsia="zh-CN"/>
              </w:rPr>
              <w:t>（执）</w:t>
            </w:r>
            <w:r>
              <w:rPr>
                <w:rFonts w:hint="eastAsia" w:ascii="仿宋" w:hAnsi="仿宋" w:eastAsia="仿宋" w:cs="仿宋"/>
                <w:color w:val="auto"/>
                <w:kern w:val="0"/>
                <w:sz w:val="24"/>
                <w:szCs w:val="24"/>
              </w:rPr>
              <w:t>业资格。</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3.年龄不超过</w:t>
            </w:r>
            <w:r>
              <w:rPr>
                <w:rFonts w:hint="eastAsia" w:ascii="仿宋" w:hAnsi="仿宋" w:eastAsia="仿宋" w:cs="仿宋"/>
                <w:color w:val="auto"/>
                <w:kern w:val="0"/>
                <w:sz w:val="24"/>
                <w:szCs w:val="24"/>
                <w:lang w:val="en-US" w:eastAsia="zh-CN"/>
              </w:rPr>
              <w:t>45</w:t>
            </w:r>
            <w:r>
              <w:rPr>
                <w:rFonts w:hint="eastAsia" w:ascii="仿宋" w:hAnsi="仿宋" w:eastAsia="仿宋" w:cs="仿宋"/>
                <w:color w:val="auto"/>
                <w:kern w:val="0"/>
                <w:sz w:val="24"/>
                <w:szCs w:val="24"/>
              </w:rPr>
              <w:t>周岁（19</w:t>
            </w:r>
            <w:r>
              <w:rPr>
                <w:rFonts w:hint="eastAsia" w:ascii="仿宋" w:hAnsi="仿宋" w:eastAsia="仿宋" w:cs="仿宋"/>
                <w:color w:val="auto"/>
                <w:kern w:val="0"/>
                <w:sz w:val="24"/>
                <w:szCs w:val="24"/>
                <w:lang w:val="en-US" w:eastAsia="zh-CN"/>
              </w:rPr>
              <w:t>81</w:t>
            </w:r>
            <w:r>
              <w:rPr>
                <w:rFonts w:hint="eastAsia" w:ascii="仿宋" w:hAnsi="仿宋" w:eastAsia="仿宋" w:cs="仿宋"/>
                <w:color w:val="auto"/>
                <w:kern w:val="0"/>
                <w:sz w:val="24"/>
                <w:szCs w:val="24"/>
              </w:rPr>
              <w:t>年</w:t>
            </w:r>
            <w:r>
              <w:rPr>
                <w:rFonts w:hint="eastAsia" w:ascii="仿宋" w:hAnsi="仿宋" w:eastAsia="仿宋" w:cs="仿宋"/>
                <w:color w:val="auto"/>
                <w:kern w:val="0"/>
                <w:sz w:val="24"/>
                <w:szCs w:val="24"/>
                <w:lang w:val="en-US" w:eastAsia="zh-CN"/>
              </w:rPr>
              <w:t>8</w:t>
            </w:r>
            <w:r>
              <w:rPr>
                <w:rFonts w:hint="eastAsia" w:ascii="仿宋" w:hAnsi="仿宋" w:eastAsia="仿宋" w:cs="仿宋"/>
                <w:color w:val="auto"/>
                <w:kern w:val="0"/>
                <w:sz w:val="24"/>
                <w:szCs w:val="24"/>
              </w:rPr>
              <w:t>月1日之后出生）。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4.</w:t>
            </w: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rPr>
              <w:t>年以上相关岗位工作经历。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5.</w:t>
            </w:r>
            <w:r>
              <w:rPr>
                <w:rFonts w:hint="eastAsia" w:ascii="仿宋" w:hAnsi="仿宋" w:eastAsia="仿宋" w:cs="仿宋"/>
                <w:color w:val="auto"/>
                <w:kern w:val="0"/>
                <w:sz w:val="24"/>
                <w:szCs w:val="24"/>
                <w:lang w:val="en-US" w:eastAsia="zh-CN"/>
              </w:rPr>
              <w:t>涉及提拔的，应当在现岗级9-1级及以上岗位工作2年以上，未满2年但特别优秀的应当在现岗级9-1级岗位和9-2级岗位工作累计4年以上。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lang w:val="en-US" w:eastAsia="zh-CN"/>
              </w:rPr>
              <w:t>6.担任过同职级的干部参加竞聘的，不受上述年龄、学历和专业技术资格条件限制。</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default"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rPr>
              <w:t>7</w:t>
            </w:r>
            <w:r>
              <w:rPr>
                <w:rFonts w:hint="eastAsia" w:ascii="仿宋" w:hAnsi="仿宋" w:eastAsia="仿宋" w:cs="仿宋"/>
                <w:color w:val="auto"/>
                <w:kern w:val="0"/>
                <w:sz w:val="24"/>
                <w:szCs w:val="24"/>
              </w:rPr>
              <w:t>.具有较强的调查研究能力、计划能力、综合协调能力和沟通能力，能有效协调各类资源，善于应对全局性和复杂问题。</w:t>
            </w:r>
          </w:p>
        </w:tc>
        <w:tc>
          <w:tcPr>
            <w:tcW w:w="518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1.协助事业部总经理负责在建项目履约管理工作，分管项目监管科。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2.协助事业部总经理负责新开项目的前期工作梳理及计划落实。</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3.协助事业部总经理负责计划统计工作。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4.负责在建项目监管和服务工作。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5.负责督促在建项目落实农民工管理及项目安全管理。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6.负责组织及时处理各在建项目的投诉。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7.负责组织生产计划的下达及监控，生产经营统计报表的编制、审核、上报工作。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8.完成领导交办的其他工作。</w:t>
            </w:r>
          </w:p>
        </w:tc>
        <w:tc>
          <w:tcPr>
            <w:tcW w:w="60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center"/>
              <w:rPr>
                <w:rFonts w:hint="eastAsia" w:ascii="仿宋" w:hAnsi="仿宋" w:eastAsia="仿宋" w:cs="仿宋"/>
                <w:color w:val="000000"/>
                <w:kern w:val="0"/>
                <w:sz w:val="24"/>
                <w:szCs w:val="24"/>
                <w:highlight w:val="none"/>
                <w:lang w:val="en-US" w:eastAsia="zh-CN" w:bidi="ar-SA"/>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45" w:type="dxa"/>
            <w:vAlign w:val="center"/>
          </w:tcPr>
          <w:p>
            <w:pPr>
              <w:keepNext w:val="0"/>
              <w:keepLines w:val="0"/>
              <w:pageBreakBefore w:val="0"/>
              <w:widowControl/>
              <w:tabs>
                <w:tab w:val="left" w:pos="490"/>
              </w:tabs>
              <w:kinsoku/>
              <w:wordWrap/>
              <w:overflowPunct/>
              <w:topLinePunct w:val="0"/>
              <w:autoSpaceDE/>
              <w:autoSpaceDN/>
              <w:bidi w:val="0"/>
              <w:adjustRightInd/>
              <w:snapToGrid/>
              <w:spacing w:line="320" w:lineRule="exact"/>
              <w:jc w:val="center"/>
              <w:textAlignment w:val="center"/>
              <w:rPr>
                <w:rFonts w:hint="eastAsia" w:ascii="仿宋" w:hAnsi="仿宋" w:eastAsia="仿宋" w:cs="仿宋"/>
                <w:color w:val="auto"/>
                <w:sz w:val="24"/>
                <w:szCs w:val="24"/>
                <w:lang w:val="en-US" w:eastAsia="zh-CN"/>
              </w:rPr>
            </w:pPr>
          </w:p>
        </w:tc>
        <w:tc>
          <w:tcPr>
            <w:tcW w:w="1257"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合计</w:t>
            </w:r>
          </w:p>
        </w:tc>
        <w:tc>
          <w:tcPr>
            <w:tcW w:w="830"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3人</w:t>
            </w:r>
          </w:p>
        </w:tc>
        <w:tc>
          <w:tcPr>
            <w:tcW w:w="5461" w:type="dxa"/>
            <w:vAlign w:val="center"/>
          </w:tcPr>
          <w:p>
            <w:pPr>
              <w:pStyle w:val="2"/>
              <w:keepNext w:val="0"/>
              <w:keepLines w:val="0"/>
              <w:pageBreakBefore w:val="0"/>
              <w:kinsoku/>
              <w:wordWrap/>
              <w:overflowPunct/>
              <w:topLinePunct w:val="0"/>
              <w:autoSpaceDE/>
              <w:autoSpaceDN/>
              <w:bidi w:val="0"/>
              <w:adjustRightInd/>
              <w:snapToGrid/>
              <w:spacing w:after="0" w:line="320" w:lineRule="exact"/>
              <w:ind w:left="0" w:leftChars="0" w:firstLine="0" w:firstLineChars="0"/>
              <w:jc w:val="both"/>
              <w:rPr>
                <w:rFonts w:hint="eastAsia" w:ascii="仿宋" w:hAnsi="仿宋" w:eastAsia="仿宋" w:cs="仿宋"/>
                <w:color w:val="auto"/>
                <w:kern w:val="0"/>
                <w:sz w:val="24"/>
                <w:szCs w:val="24"/>
                <w:highlight w:val="none"/>
                <w:lang w:val="en-US" w:eastAsia="zh-CN"/>
              </w:rPr>
            </w:pPr>
          </w:p>
        </w:tc>
        <w:tc>
          <w:tcPr>
            <w:tcW w:w="5189" w:type="dxa"/>
            <w:vAlign w:val="center"/>
          </w:tcPr>
          <w:p>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eastAsia" w:ascii="仿宋" w:hAnsi="仿宋" w:eastAsia="仿宋" w:cs="仿宋"/>
                <w:color w:val="auto"/>
                <w:sz w:val="24"/>
                <w:szCs w:val="24"/>
              </w:rPr>
            </w:pPr>
          </w:p>
        </w:tc>
        <w:tc>
          <w:tcPr>
            <w:tcW w:w="600" w:type="dxa"/>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仿宋" w:hAnsi="仿宋" w:eastAsia="仿宋" w:cs="仿宋"/>
                <w:color w:val="auto"/>
                <w:kern w:val="0"/>
                <w:sz w:val="24"/>
                <w:szCs w:val="24"/>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小标宋">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15643"/>
    <w:rsid w:val="01082954"/>
    <w:rsid w:val="048D0A70"/>
    <w:rsid w:val="0520562F"/>
    <w:rsid w:val="08BB58B5"/>
    <w:rsid w:val="1228108D"/>
    <w:rsid w:val="1B9A457E"/>
    <w:rsid w:val="1C315643"/>
    <w:rsid w:val="1E016D2B"/>
    <w:rsid w:val="1EF739A0"/>
    <w:rsid w:val="1FA91621"/>
    <w:rsid w:val="2E7C2C51"/>
    <w:rsid w:val="2FB075EC"/>
    <w:rsid w:val="35FF0824"/>
    <w:rsid w:val="388D46AF"/>
    <w:rsid w:val="389E6C58"/>
    <w:rsid w:val="3CF135B1"/>
    <w:rsid w:val="41597CC1"/>
    <w:rsid w:val="47EC73EA"/>
    <w:rsid w:val="4A853678"/>
    <w:rsid w:val="52935176"/>
    <w:rsid w:val="57DA1ED2"/>
    <w:rsid w:val="5D670D05"/>
    <w:rsid w:val="639665E7"/>
    <w:rsid w:val="63A53DC1"/>
    <w:rsid w:val="6EB028AA"/>
    <w:rsid w:val="6F610588"/>
    <w:rsid w:val="752E071C"/>
    <w:rsid w:val="7A7A2194"/>
    <w:rsid w:val="7AC62DEE"/>
    <w:rsid w:val="7C8E4220"/>
    <w:rsid w:val="7E242CC6"/>
    <w:rsid w:val="7E670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next w:val="1"/>
    <w:unhideWhenUsed/>
    <w:qFormat/>
    <w:uiPriority w:val="99"/>
    <w:pPr>
      <w:spacing w:after="120" w:line="480" w:lineRule="auto"/>
      <w:ind w:left="420" w:leftChars="200"/>
    </w:pPr>
  </w:style>
  <w:style w:type="paragraph" w:styleId="3">
    <w:name w:val="Body Text Indent"/>
    <w:basedOn w:val="1"/>
    <w:qFormat/>
    <w:uiPriority w:val="0"/>
    <w:pPr>
      <w:spacing w:line="600" w:lineRule="exact"/>
      <w:ind w:firstLine="630"/>
    </w:pPr>
    <w:rPr>
      <w:rFonts w:ascii="Times New Roman" w:hAnsi="Times New Roman" w:eastAsia="仿宋_GB2312" w:cs="Times New Roman"/>
      <w:sz w:val="32"/>
      <w:szCs w:val="20"/>
    </w:rPr>
  </w:style>
  <w:style w:type="paragraph" w:styleId="4">
    <w:name w:val="footer"/>
    <w:basedOn w:val="1"/>
    <w:semiHidden/>
    <w:unhideWhenUsed/>
    <w:qFormat/>
    <w:uiPriority w:val="99"/>
    <w:pPr>
      <w:tabs>
        <w:tab w:val="center" w:pos="4153"/>
        <w:tab w:val="right" w:pos="8306"/>
      </w:tabs>
      <w:snapToGrid w:val="0"/>
      <w:jc w:val="left"/>
    </w:pPr>
    <w:rPr>
      <w:sz w:val="18"/>
      <w:szCs w:val="18"/>
    </w:rPr>
  </w:style>
  <w:style w:type="paragraph" w:styleId="5">
    <w:name w:val="Body Text First Indent 2"/>
    <w:basedOn w:val="3"/>
    <w:qFormat/>
    <w:uiPriority w:val="0"/>
    <w:pPr>
      <w:ind w:firstLine="420" w:firstLineChars="2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 正文 + 首行缩进:  2 字符"/>
    <w:basedOn w:val="10"/>
    <w:next w:val="1"/>
    <w:qFormat/>
    <w:uiPriority w:val="0"/>
    <w:pPr>
      <w:keepNext/>
      <w:keepLines/>
      <w:spacing w:line="360" w:lineRule="auto"/>
      <w:ind w:firstLine="880" w:firstLineChars="200"/>
      <w:jc w:val="left"/>
    </w:pPr>
    <w:rPr>
      <w:rFonts w:ascii="宋体" w:hAnsi="宋体"/>
      <w:kern w:val="0"/>
    </w:rPr>
  </w:style>
  <w:style w:type="paragraph" w:customStyle="1" w:styleId="10">
    <w:name w:val="正文1"/>
    <w:qFormat/>
    <w:uiPriority w:val="0"/>
    <w:pPr>
      <w:jc w:val="both"/>
    </w:pPr>
    <w:rPr>
      <w:rFonts w:ascii="Calibri" w:hAnsi="Calibri"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551</Words>
  <Characters>586</Characters>
  <Lines>0</Lines>
  <Paragraphs>0</Paragraphs>
  <TotalTime>0</TotalTime>
  <ScaleCrop>false</ScaleCrop>
  <LinksUpToDate>false</LinksUpToDate>
  <CharactersWithSpaces>586</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2024-05-24T03:13:00Z</dcterms:created>
  <dc:creator>官威</dc:creator>
  <cp:lastModifiedBy>官威</cp:lastModifiedBy>
  <dcterms:modified xsi:type="dcterms:W3CDTF">2026-08-13T09:36:04Z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0E9E121F579C49198576A83080C74AED_13</vt:lpwstr>
  </property>
  <property fmtid="{D5CDD505-2E9C-101B-9397-08002B2CF9AE}" pid="4" name="KSOTemplateDocerSaveRecord">
    <vt:lpwstr>eyJoZGlkIjoiODE3OWVkN2ZlZjVjNmRlOTJkZDFkN2Q3MTk2MDBkMmEiLCJ1c2VySWQiOiI3NzYzNjQ3MjUifQ==</vt:lpwstr>
  </property>
</Properties>
</file>