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4E4B2">
      <w:pPr>
        <w:pageBreakBefore w:val="0"/>
        <w:widowControl w:val="0"/>
        <w:numPr>
          <w:ilvl w:val="0"/>
          <w:numId w:val="0"/>
        </w:numPr>
        <w:bidi w:val="0"/>
        <w:adjustRightInd/>
        <w:snapToGrid/>
        <w:spacing w:line="594" w:lineRule="exact"/>
        <w:textAlignment w:val="baseline"/>
        <w:rPr>
          <w:rFonts w:hint="default" w:eastAsia="方正仿宋_GBK"/>
          <w:color w:val="auto"/>
          <w:highlight w:val="none"/>
          <w:lang w:val="en-US" w:eastAsia="zh-CN"/>
        </w:rPr>
      </w:pPr>
      <w:bookmarkStart w:id="0" w:name="_GoBack"/>
      <w:bookmarkEnd w:id="0"/>
      <w:r>
        <w:rPr>
          <w:rFonts w:hint="eastAsia" w:ascii="方正黑体_GBK" w:hAnsi="方正黑体_GBK" w:eastAsia="方正黑体_GBK" w:cs="方正黑体_GBK"/>
          <w:color w:val="auto"/>
          <w:highlight w:val="none"/>
          <w:lang w:val="en-US" w:eastAsia="zh-CN"/>
        </w:rPr>
        <w:t>附件</w:t>
      </w:r>
      <w:r>
        <w:rPr>
          <w:rFonts w:hint="eastAsia"/>
          <w:color w:val="auto"/>
          <w:highlight w:val="none"/>
          <w:lang w:val="en-US" w:eastAsia="zh-CN"/>
        </w:rPr>
        <w:t>1</w:t>
      </w:r>
    </w:p>
    <w:p w14:paraId="53F6A833">
      <w:pPr>
        <w:pageBreakBefore w:val="0"/>
        <w:widowControl w:val="0"/>
        <w:numPr>
          <w:ilvl w:val="0"/>
          <w:numId w:val="0"/>
        </w:numPr>
        <w:bidi w:val="0"/>
        <w:adjustRightInd/>
        <w:snapToGrid/>
        <w:spacing w:line="594" w:lineRule="exact"/>
        <w:jc w:val="center"/>
        <w:textAlignment w:val="baseline"/>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重庆高新技术产业研究院有限责任公司</w:t>
      </w:r>
    </w:p>
    <w:p w14:paraId="5DDE5780">
      <w:pPr>
        <w:pageBreakBefore w:val="0"/>
        <w:widowControl w:val="0"/>
        <w:numPr>
          <w:ilvl w:val="0"/>
          <w:numId w:val="0"/>
        </w:numPr>
        <w:bidi w:val="0"/>
        <w:adjustRightInd/>
        <w:snapToGrid/>
        <w:spacing w:line="594" w:lineRule="exact"/>
        <w:jc w:val="center"/>
        <w:textAlignment w:val="baseline"/>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2026年引进高层次和急需紧缺人才岗位表</w:t>
      </w:r>
    </w:p>
    <w:tbl>
      <w:tblPr>
        <w:tblStyle w:val="6"/>
        <w:tblW w:w="144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2"/>
        <w:gridCol w:w="780"/>
        <w:gridCol w:w="804"/>
        <w:gridCol w:w="876"/>
        <w:gridCol w:w="769"/>
        <w:gridCol w:w="2938"/>
        <w:gridCol w:w="2764"/>
        <w:gridCol w:w="2959"/>
        <w:gridCol w:w="2074"/>
      </w:tblGrid>
      <w:tr w14:paraId="2F35C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blHeader/>
          <w:jc w:val="center"/>
        </w:trPr>
        <w:tc>
          <w:tcPr>
            <w:tcW w:w="532" w:type="dxa"/>
            <w:tcBorders>
              <w:top w:val="single" w:color="000000" w:sz="4" w:space="0"/>
              <w:left w:val="single" w:color="000000" w:sz="4" w:space="0"/>
              <w:bottom w:val="single" w:color="000000" w:sz="4" w:space="0"/>
              <w:right w:val="single" w:color="000000" w:sz="4" w:space="0"/>
            </w:tcBorders>
            <w:noWrap w:val="0"/>
            <w:vAlign w:val="center"/>
          </w:tcPr>
          <w:p w14:paraId="2FDCC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序号</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340ACD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岗位名称</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14:paraId="0DC9C7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招聘人数</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36FF28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试用期</w:t>
            </w:r>
          </w:p>
        </w:tc>
        <w:tc>
          <w:tcPr>
            <w:tcW w:w="769" w:type="dxa"/>
            <w:tcBorders>
              <w:top w:val="single" w:color="000000" w:sz="4" w:space="0"/>
              <w:left w:val="single" w:color="000000" w:sz="4" w:space="0"/>
              <w:bottom w:val="single" w:color="000000" w:sz="4" w:space="0"/>
              <w:right w:val="single" w:color="000000" w:sz="4" w:space="0"/>
            </w:tcBorders>
            <w:noWrap w:val="0"/>
            <w:vAlign w:val="center"/>
          </w:tcPr>
          <w:p w14:paraId="4CD8BC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年龄</w:t>
            </w:r>
          </w:p>
        </w:tc>
        <w:tc>
          <w:tcPr>
            <w:tcW w:w="2938" w:type="dxa"/>
            <w:tcBorders>
              <w:top w:val="single" w:color="000000" w:sz="4" w:space="0"/>
              <w:left w:val="single" w:color="000000" w:sz="4" w:space="0"/>
              <w:bottom w:val="single" w:color="000000" w:sz="4" w:space="0"/>
              <w:right w:val="single" w:color="000000" w:sz="4" w:space="0"/>
            </w:tcBorders>
            <w:noWrap w:val="0"/>
            <w:vAlign w:val="center"/>
          </w:tcPr>
          <w:p w14:paraId="4FF48C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学历要求</w:t>
            </w:r>
          </w:p>
        </w:tc>
        <w:tc>
          <w:tcPr>
            <w:tcW w:w="2764" w:type="dxa"/>
            <w:tcBorders>
              <w:top w:val="single" w:color="000000" w:sz="4" w:space="0"/>
              <w:left w:val="single" w:color="000000" w:sz="4" w:space="0"/>
              <w:bottom w:val="single" w:color="000000" w:sz="4" w:space="0"/>
              <w:right w:val="single" w:color="000000" w:sz="4" w:space="0"/>
            </w:tcBorders>
            <w:noWrap w:val="0"/>
            <w:vAlign w:val="center"/>
          </w:tcPr>
          <w:p w14:paraId="09AB9A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专业要求</w:t>
            </w:r>
          </w:p>
        </w:tc>
        <w:tc>
          <w:tcPr>
            <w:tcW w:w="2959" w:type="dxa"/>
            <w:tcBorders>
              <w:top w:val="single" w:color="000000" w:sz="4" w:space="0"/>
              <w:left w:val="single" w:color="000000" w:sz="4" w:space="0"/>
              <w:bottom w:val="single" w:color="000000" w:sz="4" w:space="0"/>
              <w:right w:val="single" w:color="000000" w:sz="4" w:space="0"/>
            </w:tcBorders>
            <w:noWrap w:val="0"/>
            <w:vAlign w:val="center"/>
          </w:tcPr>
          <w:p w14:paraId="051AAC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岗位</w:t>
            </w:r>
            <w:r>
              <w:rPr>
                <w:rFonts w:hint="eastAsia" w:eastAsia="方正黑体_GBK" w:cs="方正黑体_GBK"/>
                <w:i w:val="0"/>
                <w:iCs w:val="0"/>
                <w:color w:val="auto"/>
                <w:kern w:val="0"/>
                <w:sz w:val="28"/>
                <w:szCs w:val="28"/>
                <w:highlight w:val="none"/>
                <w:u w:val="none"/>
                <w:lang w:val="en-US" w:eastAsia="zh-CN" w:bidi="ar"/>
              </w:rPr>
              <w:t>主要</w:t>
            </w:r>
            <w:r>
              <w:rPr>
                <w:rFonts w:hint="eastAsia" w:ascii="Times New Roman" w:hAnsi="Times New Roman" w:eastAsia="方正黑体_GBK" w:cs="方正黑体_GBK"/>
                <w:i w:val="0"/>
                <w:iCs w:val="0"/>
                <w:color w:val="auto"/>
                <w:kern w:val="0"/>
                <w:sz w:val="28"/>
                <w:szCs w:val="28"/>
                <w:highlight w:val="none"/>
                <w:u w:val="none"/>
                <w:lang w:val="en-US" w:eastAsia="zh-CN" w:bidi="ar"/>
              </w:rPr>
              <w:t>职责</w:t>
            </w:r>
          </w:p>
        </w:tc>
        <w:tc>
          <w:tcPr>
            <w:tcW w:w="2074" w:type="dxa"/>
            <w:tcBorders>
              <w:top w:val="single" w:color="000000" w:sz="4" w:space="0"/>
              <w:left w:val="single" w:color="000000" w:sz="4" w:space="0"/>
              <w:bottom w:val="single" w:color="000000" w:sz="4" w:space="0"/>
              <w:right w:val="single" w:color="000000" w:sz="4" w:space="0"/>
            </w:tcBorders>
            <w:noWrap w:val="0"/>
            <w:vAlign w:val="center"/>
          </w:tcPr>
          <w:p w14:paraId="4B2EC5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Times New Roman" w:hAnsi="Times New Roman" w:eastAsia="方正黑体_GBK" w:cs="方正黑体_GBK"/>
                <w:i w:val="0"/>
                <w:iCs w:val="0"/>
                <w:color w:val="auto"/>
                <w:kern w:val="0"/>
                <w:sz w:val="28"/>
                <w:szCs w:val="28"/>
                <w:highlight w:val="none"/>
                <w:u w:val="none"/>
                <w:lang w:val="en-US" w:eastAsia="zh-CN" w:bidi="ar"/>
              </w:rPr>
            </w:pPr>
            <w:r>
              <w:rPr>
                <w:rFonts w:hint="eastAsia" w:ascii="Times New Roman" w:hAnsi="Times New Roman" w:eastAsia="方正黑体_GBK" w:cs="方正黑体_GBK"/>
                <w:i w:val="0"/>
                <w:iCs w:val="0"/>
                <w:color w:val="auto"/>
                <w:kern w:val="0"/>
                <w:sz w:val="28"/>
                <w:szCs w:val="28"/>
                <w:highlight w:val="none"/>
                <w:u w:val="none"/>
                <w:lang w:val="en-US" w:eastAsia="zh-CN" w:bidi="ar"/>
              </w:rPr>
              <w:t>岗位</w:t>
            </w:r>
          </w:p>
          <w:p w14:paraId="46C5A9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Times New Roman" w:hAnsi="Times New Roman" w:eastAsia="方正黑体_GBK" w:cs="方正黑体_GBK"/>
                <w:i w:val="0"/>
                <w:iCs w:val="0"/>
                <w:color w:val="auto"/>
                <w:sz w:val="28"/>
                <w:szCs w:val="28"/>
                <w:highlight w:val="none"/>
                <w:u w:val="none"/>
              </w:rPr>
            </w:pPr>
            <w:r>
              <w:rPr>
                <w:rFonts w:hint="eastAsia" w:ascii="Times New Roman" w:hAnsi="Times New Roman" w:eastAsia="方正黑体_GBK" w:cs="方正黑体_GBK"/>
                <w:i w:val="0"/>
                <w:iCs w:val="0"/>
                <w:color w:val="auto"/>
                <w:kern w:val="0"/>
                <w:sz w:val="28"/>
                <w:szCs w:val="28"/>
                <w:highlight w:val="none"/>
                <w:u w:val="none"/>
                <w:lang w:val="en-US" w:eastAsia="zh-CN" w:bidi="ar"/>
              </w:rPr>
              <w:t>要求</w:t>
            </w:r>
          </w:p>
        </w:tc>
      </w:tr>
      <w:tr w14:paraId="24397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0" w:hRule="atLeast"/>
          <w:jc w:val="center"/>
        </w:trPr>
        <w:tc>
          <w:tcPr>
            <w:tcW w:w="532" w:type="dxa"/>
            <w:tcBorders>
              <w:top w:val="single" w:color="000000" w:sz="4" w:space="0"/>
              <w:left w:val="single" w:color="000000" w:sz="4" w:space="0"/>
              <w:bottom w:val="single" w:color="000000" w:sz="4" w:space="0"/>
              <w:right w:val="single" w:color="000000" w:sz="4" w:space="0"/>
            </w:tcBorders>
            <w:noWrap w:val="0"/>
            <w:vAlign w:val="center"/>
          </w:tcPr>
          <w:p w14:paraId="3C8B9A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eastAsia" w:ascii="Times New Roman" w:hAnsi="Times New Roman" w:eastAsia="方正仿宋_GBK" w:cs="Times New Roman"/>
                <w:i w:val="0"/>
                <w:iCs w:val="0"/>
                <w:color w:val="auto"/>
                <w:kern w:val="0"/>
                <w:sz w:val="21"/>
                <w:szCs w:val="21"/>
                <w:highlight w:val="none"/>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D783C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成果转化服务岗</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14:paraId="0B0F98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ascii="Times New Roman" w:hAnsi="Times New Roman" w:eastAsia="方正仿宋_GBK" w:cs="Times New Roman"/>
                <w:i w:val="0"/>
                <w:iCs w:val="0"/>
                <w:color w:val="auto"/>
                <w:kern w:val="0"/>
                <w:sz w:val="21"/>
                <w:szCs w:val="21"/>
                <w:highlight w:val="none"/>
                <w:u w:val="none"/>
                <w:lang w:val="en-US" w:eastAsia="zh" w:bidi="ar"/>
              </w:rPr>
            </w:pPr>
            <w:r>
              <w:rPr>
                <w:rFonts w:hint="eastAsia" w:cs="Times New Roman"/>
                <w:i w:val="0"/>
                <w:iCs w:val="0"/>
                <w:color w:val="auto"/>
                <w:kern w:val="0"/>
                <w:sz w:val="21"/>
                <w:szCs w:val="21"/>
                <w:highlight w:val="none"/>
                <w:u w:val="none"/>
                <w:lang w:val="en-US" w:eastAsia="zh" w:bidi="ar"/>
              </w:rPr>
              <w:t>3</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6BBDFA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eastAsia" w:ascii="Times New Roman" w:hAnsi="Times New Roman" w:eastAsia="方正仿宋_GBK" w:cs="Times New Roman"/>
                <w:i w:val="0"/>
                <w:iCs w:val="0"/>
                <w:color w:val="auto"/>
                <w:kern w:val="0"/>
                <w:sz w:val="21"/>
                <w:szCs w:val="21"/>
                <w:highlight w:val="none"/>
                <w:u w:val="none"/>
                <w:lang w:val="en-US" w:eastAsia="zh-CN" w:bidi="ar"/>
              </w:rPr>
              <w:t>3个月</w:t>
            </w:r>
          </w:p>
        </w:tc>
        <w:tc>
          <w:tcPr>
            <w:tcW w:w="769" w:type="dxa"/>
            <w:tcBorders>
              <w:top w:val="single" w:color="000000" w:sz="4" w:space="0"/>
              <w:left w:val="single" w:color="000000" w:sz="4" w:space="0"/>
              <w:bottom w:val="single" w:color="000000" w:sz="4" w:space="0"/>
              <w:right w:val="single" w:color="000000" w:sz="4" w:space="0"/>
            </w:tcBorders>
            <w:noWrap w:val="0"/>
            <w:vAlign w:val="center"/>
          </w:tcPr>
          <w:p w14:paraId="5B6E28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40</w:t>
            </w:r>
            <w:r>
              <w:rPr>
                <w:rFonts w:hint="default" w:ascii="Times New Roman" w:hAnsi="Times New Roman" w:eastAsia="方正仿宋_GBK" w:cs="Times New Roman"/>
                <w:i w:val="0"/>
                <w:iCs w:val="0"/>
                <w:color w:val="auto"/>
                <w:kern w:val="0"/>
                <w:sz w:val="21"/>
                <w:szCs w:val="21"/>
                <w:highlight w:val="none"/>
                <w:u w:val="none"/>
                <w:lang w:val="en-US" w:eastAsia="zh-CN" w:bidi="ar"/>
              </w:rPr>
              <w:t>周岁及以下</w:t>
            </w:r>
          </w:p>
        </w:tc>
        <w:tc>
          <w:tcPr>
            <w:tcW w:w="2938" w:type="dxa"/>
            <w:tcBorders>
              <w:top w:val="single" w:color="000000" w:sz="4" w:space="0"/>
              <w:left w:val="single" w:color="000000" w:sz="4" w:space="0"/>
              <w:bottom w:val="single" w:color="000000" w:sz="4" w:space="0"/>
              <w:right w:val="single" w:color="000000" w:sz="4" w:space="0"/>
            </w:tcBorders>
            <w:noWrap w:val="0"/>
            <w:vAlign w:val="center"/>
          </w:tcPr>
          <w:p w14:paraId="655917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Times New Roman" w:hAnsi="Times New Roman" w:eastAsia="方正仿宋_GBK"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需</w:t>
            </w:r>
            <w:r>
              <w:rPr>
                <w:rFonts w:hint="eastAsia" w:ascii="Times New Roman" w:hAnsi="Times New Roman" w:eastAsia="方正仿宋_GBK" w:cs="Times New Roman"/>
                <w:i w:val="0"/>
                <w:iCs w:val="0"/>
                <w:color w:val="auto"/>
                <w:kern w:val="0"/>
                <w:sz w:val="21"/>
                <w:szCs w:val="21"/>
                <w:highlight w:val="none"/>
                <w:u w:val="none"/>
                <w:lang w:val="en-US" w:eastAsia="zh-CN" w:bidi="ar"/>
              </w:rPr>
              <w:t>满足以下条件之一：</w:t>
            </w:r>
          </w:p>
          <w:p w14:paraId="1D4EAB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Times New Roman" w:hAnsi="Times New Roman" w:eastAsia="方正仿宋_GBK" w:cs="Times New Roman"/>
                <w:i w:val="0"/>
                <w:iCs w:val="0"/>
                <w:color w:val="auto"/>
                <w:kern w:val="0"/>
                <w:sz w:val="21"/>
                <w:szCs w:val="21"/>
                <w:highlight w:val="none"/>
                <w:u w:val="none"/>
                <w:lang w:val="en-US" w:eastAsia="zh-CN" w:bidi="ar"/>
              </w:rPr>
            </w:pPr>
            <w:r>
              <w:rPr>
                <w:rFonts w:hint="eastAsia" w:ascii="Times New Roman" w:hAnsi="Times New Roman" w:eastAsia="方正仿宋_GBK" w:cs="Times New Roman"/>
                <w:i w:val="0"/>
                <w:iCs w:val="0"/>
                <w:color w:val="auto"/>
                <w:kern w:val="0"/>
                <w:sz w:val="21"/>
                <w:szCs w:val="21"/>
                <w:highlight w:val="none"/>
                <w:u w:val="none"/>
                <w:lang w:val="en-US" w:eastAsia="zh-CN" w:bidi="ar"/>
              </w:rPr>
              <w:t>（1）取得普通高等教育研究生学历并取得硕士及以上相应学位，且所学专业与聘任岗位密切相关</w:t>
            </w:r>
            <w:r>
              <w:rPr>
                <w:rFonts w:hint="eastAsia" w:cs="Times New Roman"/>
                <w:i w:val="0"/>
                <w:iCs w:val="0"/>
                <w:color w:val="auto"/>
                <w:kern w:val="0"/>
                <w:sz w:val="21"/>
                <w:szCs w:val="21"/>
                <w:highlight w:val="none"/>
                <w:u w:val="none"/>
                <w:lang w:val="en-US" w:eastAsia="zh-CN" w:bidi="ar"/>
              </w:rPr>
              <w:t>；</w:t>
            </w:r>
          </w:p>
          <w:p w14:paraId="220F57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Times New Roman" w:hAnsi="Times New Roman" w:eastAsia="方正仿宋_GBK" w:cs="Times New Roman"/>
                <w:i w:val="0"/>
                <w:iCs w:val="0"/>
                <w:color w:val="auto"/>
                <w:kern w:val="0"/>
                <w:sz w:val="21"/>
                <w:szCs w:val="21"/>
                <w:highlight w:val="none"/>
                <w:u w:val="none"/>
                <w:lang w:val="en-US" w:eastAsia="zh-CN" w:bidi="ar"/>
              </w:rPr>
            </w:pPr>
            <w:r>
              <w:rPr>
                <w:rFonts w:hint="eastAsia" w:ascii="Times New Roman" w:hAnsi="Times New Roman" w:eastAsia="方正仿宋_GBK" w:cs="Times New Roman"/>
                <w:i w:val="0"/>
                <w:iCs w:val="0"/>
                <w:color w:val="auto"/>
                <w:kern w:val="0"/>
                <w:sz w:val="21"/>
                <w:szCs w:val="21"/>
                <w:highlight w:val="none"/>
                <w:u w:val="none"/>
                <w:lang w:val="en-US" w:eastAsia="zh-CN" w:bidi="ar"/>
              </w:rPr>
              <w:t>（2）毕业于“双一流”院校，取得普通高等教育本科及以上学历并取得学士及以上相应学位，且所学专业与聘任岗位密切相关；或毕业于QS世界大学排名前</w:t>
            </w:r>
            <w:r>
              <w:rPr>
                <w:rFonts w:hint="eastAsia" w:cs="Times New Roman"/>
                <w:i w:val="0"/>
                <w:iCs w:val="0"/>
                <w:color w:val="auto"/>
                <w:kern w:val="0"/>
                <w:sz w:val="21"/>
                <w:szCs w:val="21"/>
                <w:highlight w:val="none"/>
                <w:u w:val="none"/>
                <w:lang w:val="en-US" w:eastAsia="zh-CN" w:bidi="ar"/>
              </w:rPr>
              <w:t>2</w:t>
            </w:r>
            <w:r>
              <w:rPr>
                <w:rFonts w:hint="eastAsia" w:ascii="Times New Roman" w:hAnsi="Times New Roman" w:eastAsia="方正仿宋_GBK" w:cs="Times New Roman"/>
                <w:i w:val="0"/>
                <w:iCs w:val="0"/>
                <w:color w:val="auto"/>
                <w:kern w:val="0"/>
                <w:sz w:val="21"/>
                <w:szCs w:val="21"/>
                <w:highlight w:val="none"/>
                <w:u w:val="none"/>
                <w:lang w:val="en-US" w:eastAsia="zh-CN" w:bidi="ar"/>
              </w:rPr>
              <w:t>00的国（境）外院校，取得相应学历学位，且所学专业与聘任岗位密切相关</w:t>
            </w:r>
            <w:r>
              <w:rPr>
                <w:rFonts w:hint="eastAsia" w:cs="Times New Roman"/>
                <w:i w:val="0"/>
                <w:iCs w:val="0"/>
                <w:color w:val="auto"/>
                <w:kern w:val="0"/>
                <w:sz w:val="21"/>
                <w:szCs w:val="21"/>
                <w:highlight w:val="none"/>
                <w:u w:val="none"/>
                <w:lang w:val="en-US" w:eastAsia="zh-CN" w:bidi="ar"/>
              </w:rPr>
              <w:t>；</w:t>
            </w:r>
          </w:p>
          <w:p w14:paraId="2F14D0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eastAsia" w:ascii="Times New Roman" w:hAnsi="Times New Roman" w:eastAsia="方正仿宋_GBK" w:cs="Times New Roman"/>
                <w:i w:val="0"/>
                <w:iCs w:val="0"/>
                <w:color w:val="auto"/>
                <w:kern w:val="0"/>
                <w:sz w:val="21"/>
                <w:szCs w:val="21"/>
                <w:highlight w:val="none"/>
                <w:u w:val="none"/>
                <w:lang w:val="en-US" w:eastAsia="zh-CN" w:bidi="ar"/>
              </w:rPr>
              <w:t>（3）取得普通高等教育本科及以上学历并取得学士及以上相应学位，同时具备与聘任岗位密切相关的副高级及以上专业技术职称。</w:t>
            </w:r>
          </w:p>
        </w:tc>
        <w:tc>
          <w:tcPr>
            <w:tcW w:w="2764" w:type="dxa"/>
            <w:tcBorders>
              <w:top w:val="single" w:color="000000" w:sz="4" w:space="0"/>
              <w:left w:val="single" w:color="000000" w:sz="4" w:space="0"/>
              <w:bottom w:val="single" w:color="000000" w:sz="4" w:space="0"/>
              <w:right w:val="single" w:color="000000" w:sz="4" w:space="0"/>
            </w:tcBorders>
            <w:noWrap w:val="0"/>
            <w:vAlign w:val="center"/>
          </w:tcPr>
          <w:p w14:paraId="250EAB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default" w:ascii="Times New Roman" w:hAnsi="Times New Roman" w:eastAsia="方正仿宋_GBK" w:cs="Times New Roman"/>
                <w:b/>
                <w:bCs/>
                <w:i w:val="0"/>
                <w:iCs w:val="0"/>
                <w:color w:val="auto"/>
                <w:kern w:val="0"/>
                <w:sz w:val="21"/>
                <w:szCs w:val="21"/>
                <w:highlight w:val="none"/>
                <w:u w:val="none"/>
                <w:lang w:val="en-US" w:eastAsia="zh-CN" w:bidi="ar"/>
              </w:rPr>
              <w:t>本科专业</w:t>
            </w:r>
            <w:r>
              <w:rPr>
                <w:rFonts w:hint="default" w:ascii="Times New Roman" w:hAnsi="Times New Roman" w:eastAsia="方正仿宋_GBK" w:cs="Times New Roman"/>
                <w:i w:val="0"/>
                <w:iCs w:val="0"/>
                <w:color w:val="auto"/>
                <w:kern w:val="0"/>
                <w:sz w:val="21"/>
                <w:szCs w:val="21"/>
                <w:highlight w:val="none"/>
                <w:u w:val="none"/>
                <w:lang w:val="en-US" w:eastAsia="zh-CN" w:bidi="ar"/>
              </w:rPr>
              <w:t>：金融学类</w:t>
            </w:r>
            <w:r>
              <w:rPr>
                <w:rFonts w:hint="eastAsia" w:cs="Times New Roman"/>
                <w:i w:val="0"/>
                <w:iCs w:val="0"/>
                <w:color w:val="auto"/>
                <w:kern w:val="0"/>
                <w:sz w:val="21"/>
                <w:szCs w:val="21"/>
                <w:highlight w:val="none"/>
                <w:u w:val="none"/>
                <w:lang w:val="en-US" w:eastAsia="zh-CN" w:bidi="ar"/>
              </w:rPr>
              <w:t>、机械类、仪器类、材料类、能源动力类、电气类、电子信息类、自动化类、计算机类、化工与制药类、海洋工程类、航空航天类、生物医学工程类、生物工程类、工商管理类、交叉工程类。</w:t>
            </w:r>
          </w:p>
          <w:p w14:paraId="1C639B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default" w:ascii="Times New Roman" w:hAnsi="Times New Roman" w:eastAsia="方正仿宋_GBK" w:cs="Times New Roman"/>
                <w:b/>
                <w:bCs/>
                <w:i w:val="0"/>
                <w:iCs w:val="0"/>
                <w:color w:val="auto"/>
                <w:kern w:val="0"/>
                <w:sz w:val="21"/>
                <w:szCs w:val="21"/>
                <w:highlight w:val="none"/>
                <w:u w:val="none"/>
                <w:lang w:val="en-US" w:eastAsia="zh-CN" w:bidi="ar"/>
              </w:rPr>
              <w:t>研究生专业</w:t>
            </w:r>
            <w:r>
              <w:rPr>
                <w:rFonts w:hint="default" w:ascii="Times New Roman" w:hAnsi="Times New Roman" w:eastAsia="方正仿宋_GBK" w:cs="Times New Roman"/>
                <w:i w:val="0"/>
                <w:iCs w:val="0"/>
                <w:color w:val="auto"/>
                <w:kern w:val="0"/>
                <w:sz w:val="21"/>
                <w:szCs w:val="21"/>
                <w:highlight w:val="none"/>
                <w:u w:val="none"/>
                <w:lang w:val="en-US" w:eastAsia="zh-CN" w:bidi="ar"/>
              </w:rPr>
              <w:t>：金融类</w:t>
            </w:r>
            <w:r>
              <w:rPr>
                <w:rFonts w:hint="eastAsia" w:cs="Times New Roman"/>
                <w:i w:val="0"/>
                <w:iCs w:val="0"/>
                <w:color w:val="auto"/>
                <w:kern w:val="0"/>
                <w:sz w:val="21"/>
                <w:szCs w:val="21"/>
                <w:highlight w:val="none"/>
                <w:u w:val="none"/>
                <w:lang w:val="en-US" w:eastAsia="zh-CN" w:bidi="ar"/>
              </w:rPr>
              <w:t>、机械工程类、材料科学与工程类、电气工程类、信息与通信工程类、控制科学与工程类、计算机科学与技术类、化学工程与技术类、船舶与海洋工程类、航空宇航科学与技术类、电子信息类、材料与化工类、生物与医药类、工商管理学类、国际商务类。</w:t>
            </w:r>
          </w:p>
        </w:tc>
        <w:tc>
          <w:tcPr>
            <w:tcW w:w="2959" w:type="dxa"/>
            <w:tcBorders>
              <w:top w:val="single" w:color="000000" w:sz="4" w:space="0"/>
              <w:left w:val="single" w:color="000000" w:sz="4" w:space="0"/>
              <w:bottom w:val="single" w:color="000000" w:sz="4" w:space="0"/>
              <w:right w:val="single" w:color="000000" w:sz="4" w:space="0"/>
            </w:tcBorders>
            <w:noWrap w:val="0"/>
            <w:vAlign w:val="center"/>
          </w:tcPr>
          <w:p w14:paraId="0C2D5E0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left"/>
              <w:textAlignment w:val="center"/>
              <w:rPr>
                <w:rFonts w:hint="eastAsia" w:ascii="Times New Roman" w:hAnsi="Times New Roman" w:eastAsia="方正仿宋_GBK" w:cs="Times New Roman"/>
                <w:i w:val="0"/>
                <w:iCs w:val="0"/>
                <w:color w:val="auto"/>
                <w:kern w:val="0"/>
                <w:sz w:val="21"/>
                <w:szCs w:val="21"/>
                <w:highlight w:val="none"/>
                <w:lang w:val="en-US" w:eastAsia="zh-CN" w:bidi="ar"/>
              </w:rPr>
            </w:pPr>
            <w:r>
              <w:rPr>
                <w:rFonts w:hint="eastAsia" w:ascii="Times New Roman" w:hAnsi="Times New Roman" w:eastAsia="方正仿宋_GBK" w:cs="Times New Roman"/>
                <w:i w:val="0"/>
                <w:iCs w:val="0"/>
                <w:color w:val="auto"/>
                <w:kern w:val="0"/>
                <w:sz w:val="21"/>
                <w:szCs w:val="21"/>
                <w:highlight w:val="none"/>
                <w:lang w:val="en-US" w:eastAsia="zh-CN" w:bidi="ar"/>
              </w:rPr>
              <w:t>1.负责挖掘、筛选、对接国内外高校院所、龙头企业等创新成果，引进科技成果产业化项目。</w:t>
            </w:r>
          </w:p>
          <w:p w14:paraId="6E21554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left"/>
              <w:textAlignment w:val="center"/>
              <w:rPr>
                <w:rFonts w:hint="eastAsia" w:ascii="Times New Roman" w:hAnsi="Times New Roman" w:eastAsia="方正仿宋_GBK" w:cs="Times New Roman"/>
                <w:i w:val="0"/>
                <w:iCs w:val="0"/>
                <w:color w:val="auto"/>
                <w:kern w:val="0"/>
                <w:sz w:val="21"/>
                <w:szCs w:val="21"/>
                <w:highlight w:val="none"/>
                <w:lang w:val="en-US" w:eastAsia="zh-CN" w:bidi="ar"/>
              </w:rPr>
            </w:pPr>
            <w:r>
              <w:rPr>
                <w:rFonts w:hint="eastAsia" w:ascii="Times New Roman" w:hAnsi="Times New Roman" w:eastAsia="方正仿宋_GBK" w:cs="Times New Roman"/>
                <w:i w:val="0"/>
                <w:iCs w:val="0"/>
                <w:color w:val="auto"/>
                <w:kern w:val="0"/>
                <w:sz w:val="21"/>
                <w:szCs w:val="21"/>
                <w:highlight w:val="none"/>
                <w:lang w:val="en-US" w:eastAsia="zh-CN" w:bidi="ar"/>
              </w:rPr>
              <w:t>2.负责开展行业深度调研、信息收集，形成产业研究或项目论证报告，为项目投资、合作决策提供专业支撑。</w:t>
            </w:r>
          </w:p>
          <w:p w14:paraId="43FDAEA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left"/>
              <w:textAlignment w:val="center"/>
              <w:rPr>
                <w:rFonts w:hint="eastAsia" w:ascii="Times New Roman" w:hAnsi="Times New Roman" w:eastAsia="方正仿宋_GBK" w:cs="Times New Roman"/>
                <w:i w:val="0"/>
                <w:iCs w:val="0"/>
                <w:color w:val="auto"/>
                <w:kern w:val="0"/>
                <w:sz w:val="21"/>
                <w:szCs w:val="21"/>
                <w:highlight w:val="none"/>
                <w:lang w:val="en-US" w:eastAsia="zh-CN" w:bidi="ar"/>
              </w:rPr>
            </w:pPr>
            <w:r>
              <w:rPr>
                <w:rFonts w:hint="eastAsia" w:ascii="Times New Roman" w:hAnsi="Times New Roman" w:eastAsia="方正仿宋_GBK" w:cs="Times New Roman"/>
                <w:i w:val="0"/>
                <w:iCs w:val="0"/>
                <w:color w:val="auto"/>
                <w:kern w:val="0"/>
                <w:sz w:val="21"/>
                <w:szCs w:val="21"/>
                <w:highlight w:val="none"/>
                <w:lang w:val="en-US" w:eastAsia="zh-CN" w:bidi="ar"/>
              </w:rPr>
              <w:t>3.负责项目合作商务洽谈，推进合作协议磋商与落地。</w:t>
            </w:r>
          </w:p>
          <w:p w14:paraId="1C7B31D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left"/>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eastAsia" w:ascii="Times New Roman" w:hAnsi="Times New Roman" w:eastAsia="方正仿宋_GBK" w:cs="Times New Roman"/>
                <w:i w:val="0"/>
                <w:iCs w:val="0"/>
                <w:color w:val="auto"/>
                <w:kern w:val="0"/>
                <w:sz w:val="21"/>
                <w:szCs w:val="21"/>
                <w:highlight w:val="none"/>
                <w:lang w:val="en-US" w:eastAsia="zh-CN" w:bidi="ar"/>
              </w:rPr>
              <w:t>4.负责项目全周期管理，做好企业创新服务。</w:t>
            </w:r>
          </w:p>
        </w:tc>
        <w:tc>
          <w:tcPr>
            <w:tcW w:w="2074" w:type="dxa"/>
            <w:tcBorders>
              <w:top w:val="single" w:color="000000" w:sz="4" w:space="0"/>
              <w:left w:val="single" w:color="000000" w:sz="4" w:space="0"/>
              <w:bottom w:val="single" w:color="000000" w:sz="4" w:space="0"/>
              <w:right w:val="single" w:color="000000" w:sz="4" w:space="0"/>
            </w:tcBorders>
            <w:noWrap w:val="0"/>
            <w:vAlign w:val="center"/>
          </w:tcPr>
          <w:p w14:paraId="48E87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1.具有3年以上科技项目转化、股权投资、招商服务相关工作经验。</w:t>
            </w:r>
          </w:p>
          <w:p w14:paraId="4572F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2.具有国产替代技术开发及产业化经验者优先。</w:t>
            </w:r>
          </w:p>
        </w:tc>
      </w:tr>
      <w:tr w14:paraId="49D00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0" w:hRule="atLeast"/>
          <w:jc w:val="center"/>
        </w:trPr>
        <w:tc>
          <w:tcPr>
            <w:tcW w:w="532" w:type="dxa"/>
            <w:tcBorders>
              <w:top w:val="single" w:color="000000" w:sz="4" w:space="0"/>
              <w:left w:val="single" w:color="000000" w:sz="4" w:space="0"/>
              <w:bottom w:val="single" w:color="000000" w:sz="4" w:space="0"/>
              <w:right w:val="single" w:color="000000" w:sz="4" w:space="0"/>
            </w:tcBorders>
            <w:noWrap w:val="0"/>
            <w:vAlign w:val="center"/>
          </w:tcPr>
          <w:p w14:paraId="2B8030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eastAsia" w:ascii="Times New Roman" w:hAnsi="Times New Roman" w:eastAsia="方正仿宋_GBK" w:cs="Times New Roman"/>
                <w:i w:val="0"/>
                <w:iCs w:val="0"/>
                <w:color w:val="auto"/>
                <w:kern w:val="0"/>
                <w:sz w:val="21"/>
                <w:szCs w:val="21"/>
                <w:highlight w:val="none"/>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E8B71E">
            <w:pPr>
              <w:keepNext w:val="0"/>
              <w:keepLines w:val="0"/>
              <w:widowControl/>
              <w:suppressLineNumbers w:val="0"/>
              <w:autoSpaceDE w:val="0"/>
              <w:autoSpaceDN/>
              <w:spacing w:before="0" w:beforeAutospacing="0" w:after="0" w:afterAutospacing="0" w:line="300" w:lineRule="exact"/>
              <w:ind w:left="0" w:leftChars="0" w:right="0" w:rightChars="0"/>
              <w:jc w:val="center"/>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财务尽调岗</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54DAC7">
            <w:pPr>
              <w:keepNext w:val="0"/>
              <w:keepLines w:val="0"/>
              <w:widowControl/>
              <w:suppressLineNumbers w:val="0"/>
              <w:autoSpaceDE w:val="0"/>
              <w:autoSpaceDN/>
              <w:spacing w:before="0" w:beforeAutospacing="0" w:after="0" w:afterAutospacing="0" w:line="300" w:lineRule="exact"/>
              <w:ind w:left="0" w:leftChars="0" w:right="0" w:rightChars="0"/>
              <w:jc w:val="center"/>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default" w:ascii="Times New Roman" w:hAnsi="Times New Roman" w:eastAsia="方正仿宋_GBK" w:cs="Times New Roman"/>
                <w:i w:val="0"/>
                <w:iCs w:val="0"/>
                <w:kern w:val="0"/>
                <w:sz w:val="21"/>
                <w:szCs w:val="21"/>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E674BC">
            <w:pPr>
              <w:keepNext w:val="0"/>
              <w:keepLines w:val="0"/>
              <w:widowControl/>
              <w:suppressLineNumbers w:val="0"/>
              <w:autoSpaceDE w:val="0"/>
              <w:autoSpaceDN/>
              <w:spacing w:before="0" w:beforeAutospacing="0" w:after="0" w:afterAutospacing="0" w:line="300" w:lineRule="exact"/>
              <w:ind w:left="0" w:leftChars="0" w:right="0" w:rightChars="0"/>
              <w:jc w:val="center"/>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default" w:ascii="Times New Roman" w:hAnsi="Times New Roman" w:eastAsia="方正仿宋_GBK" w:cs="Times New Roman"/>
                <w:i w:val="0"/>
                <w:iCs w:val="0"/>
                <w:kern w:val="0"/>
                <w:sz w:val="21"/>
                <w:szCs w:val="21"/>
                <w:lang w:val="en-US" w:eastAsia="zh-CN" w:bidi="ar"/>
              </w:rPr>
              <w:t>3</w:t>
            </w:r>
            <w:r>
              <w:rPr>
                <w:rFonts w:hint="eastAsia" w:ascii="方正仿宋_GBK" w:hAnsi="方正仿宋_GBK" w:eastAsia="方正仿宋_GBK" w:cs="方正仿宋_GBK"/>
                <w:i w:val="0"/>
                <w:iCs w:val="0"/>
                <w:kern w:val="0"/>
                <w:sz w:val="21"/>
                <w:szCs w:val="21"/>
                <w:lang w:val="en-US" w:eastAsia="zh-CN" w:bidi="ar"/>
              </w:rPr>
              <w:t>个月</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2AFA12">
            <w:pPr>
              <w:keepNext w:val="0"/>
              <w:keepLines w:val="0"/>
              <w:widowControl/>
              <w:suppressLineNumbers w:val="0"/>
              <w:autoSpaceDE w:val="0"/>
              <w:autoSpaceDN/>
              <w:spacing w:before="0" w:beforeAutospacing="0" w:after="0" w:afterAutospacing="0" w:line="300" w:lineRule="exact"/>
              <w:ind w:left="0" w:leftChars="0" w:right="0" w:rightChars="0"/>
              <w:jc w:val="center"/>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default" w:ascii="Times New Roman" w:hAnsi="Times New Roman" w:eastAsia="方正仿宋_GBK" w:cs="Times New Roman"/>
                <w:i w:val="0"/>
                <w:iCs w:val="0"/>
                <w:kern w:val="0"/>
                <w:sz w:val="21"/>
                <w:szCs w:val="21"/>
                <w:lang w:val="en-US" w:eastAsia="zh-CN" w:bidi="ar"/>
              </w:rPr>
              <w:t>40</w:t>
            </w:r>
            <w:r>
              <w:rPr>
                <w:rFonts w:hint="eastAsia" w:ascii="方正仿宋_GBK" w:hAnsi="方正仿宋_GBK" w:eastAsia="方正仿宋_GBK" w:cs="方正仿宋_GBK"/>
                <w:i w:val="0"/>
                <w:iCs w:val="0"/>
                <w:kern w:val="0"/>
                <w:sz w:val="21"/>
                <w:szCs w:val="21"/>
                <w:lang w:val="en-US" w:eastAsia="zh-CN" w:bidi="ar"/>
              </w:rPr>
              <w:t>周岁及以下</w:t>
            </w:r>
          </w:p>
        </w:tc>
        <w:tc>
          <w:tcPr>
            <w:tcW w:w="2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776519">
            <w:pPr>
              <w:keepNext w:val="0"/>
              <w:keepLines w:val="0"/>
              <w:widowControl/>
              <w:suppressLineNumbers w:val="0"/>
              <w:autoSpaceDE w:val="0"/>
              <w:autoSpaceDN/>
              <w:spacing w:before="0" w:beforeAutospacing="0" w:after="0" w:afterAutospacing="0" w:line="300" w:lineRule="exact"/>
              <w:ind w:left="0" w:right="0"/>
              <w:jc w:val="both"/>
              <w:textAlignment w:val="center"/>
              <w:rPr>
                <w:rFonts w:hint="eastAsia" w:ascii="Times New Roman" w:hAnsi="Times New Roman" w:eastAsia="方正仿宋_GBK" w:cs="Times New Roman"/>
                <w:i w:val="0"/>
                <w:iCs w:val="0"/>
                <w:kern w:val="0"/>
                <w:sz w:val="21"/>
                <w:szCs w:val="21"/>
              </w:rPr>
            </w:pPr>
            <w:r>
              <w:rPr>
                <w:rFonts w:hint="eastAsia" w:ascii="方正仿宋_GBK" w:hAnsi="方正仿宋_GBK" w:eastAsia="方正仿宋_GBK" w:cs="方正仿宋_GBK"/>
                <w:i w:val="0"/>
                <w:iCs w:val="0"/>
                <w:kern w:val="0"/>
                <w:sz w:val="21"/>
                <w:szCs w:val="21"/>
                <w:lang w:val="en-US" w:eastAsia="zh-CN" w:bidi="ar"/>
              </w:rPr>
              <w:t>需满足以下条件之一：</w:t>
            </w:r>
          </w:p>
          <w:p w14:paraId="64A9260D">
            <w:pPr>
              <w:keepNext w:val="0"/>
              <w:keepLines w:val="0"/>
              <w:widowControl/>
              <w:suppressLineNumbers w:val="0"/>
              <w:autoSpaceDE w:val="0"/>
              <w:autoSpaceDN/>
              <w:spacing w:before="0" w:beforeAutospacing="0" w:after="0" w:afterAutospacing="0" w:line="300" w:lineRule="exact"/>
              <w:ind w:left="0" w:right="0"/>
              <w:jc w:val="both"/>
              <w:textAlignment w:val="center"/>
              <w:rPr>
                <w:rFonts w:hint="eastAsia" w:ascii="Times New Roman" w:hAnsi="Times New Roman" w:eastAsia="方正仿宋_GBK" w:cs="Times New Roman"/>
                <w:i w:val="0"/>
                <w:iCs w:val="0"/>
                <w:kern w:val="0"/>
                <w:sz w:val="21"/>
                <w:szCs w:val="21"/>
              </w:rPr>
            </w:pPr>
            <w:r>
              <w:rPr>
                <w:rFonts w:hint="eastAsia" w:ascii="方正仿宋_GBK" w:hAnsi="方正仿宋_GBK" w:eastAsia="方正仿宋_GBK" w:cs="方正仿宋_GBK"/>
                <w:i w:val="0"/>
                <w:iCs w:val="0"/>
                <w:kern w:val="0"/>
                <w:sz w:val="21"/>
                <w:szCs w:val="21"/>
                <w:lang w:val="en-US" w:eastAsia="zh-CN" w:bidi="ar"/>
              </w:rPr>
              <w:t>（</w:t>
            </w:r>
            <w:r>
              <w:rPr>
                <w:rFonts w:hint="default" w:ascii="Times New Roman" w:hAnsi="Times New Roman" w:eastAsia="方正仿宋_GBK" w:cs="Times New Roman"/>
                <w:i w:val="0"/>
                <w:iCs w:val="0"/>
                <w:kern w:val="0"/>
                <w:sz w:val="21"/>
                <w:szCs w:val="21"/>
                <w:lang w:val="en-US" w:eastAsia="zh-CN" w:bidi="ar"/>
              </w:rPr>
              <w:t>1</w:t>
            </w:r>
            <w:r>
              <w:rPr>
                <w:rFonts w:hint="eastAsia" w:ascii="方正仿宋_GBK" w:hAnsi="方正仿宋_GBK" w:eastAsia="方正仿宋_GBK" w:cs="方正仿宋_GBK"/>
                <w:i w:val="0"/>
                <w:iCs w:val="0"/>
                <w:kern w:val="0"/>
                <w:sz w:val="21"/>
                <w:szCs w:val="21"/>
                <w:lang w:val="en-US" w:eastAsia="zh-CN" w:bidi="ar"/>
              </w:rPr>
              <w:t>）取得普通高等教育研究生学历并取得硕士及以上相应学位，且所学专业与聘任岗位密切相关</w:t>
            </w:r>
            <w:r>
              <w:rPr>
                <w:rFonts w:hint="eastAsia" w:ascii="方正仿宋_GBK" w:hAnsi="方正仿宋_GBK" w:cs="方正仿宋_GBK"/>
                <w:i w:val="0"/>
                <w:iCs w:val="0"/>
                <w:kern w:val="0"/>
                <w:sz w:val="21"/>
                <w:szCs w:val="21"/>
                <w:lang w:val="en-US" w:eastAsia="zh-CN" w:bidi="ar"/>
              </w:rPr>
              <w:t>；</w:t>
            </w:r>
          </w:p>
          <w:p w14:paraId="16C7C0DF">
            <w:pPr>
              <w:keepNext w:val="0"/>
              <w:keepLines w:val="0"/>
              <w:widowControl/>
              <w:suppressLineNumbers w:val="0"/>
              <w:autoSpaceDE w:val="0"/>
              <w:autoSpaceDN/>
              <w:spacing w:before="0" w:beforeAutospacing="0" w:after="0" w:afterAutospacing="0" w:line="300" w:lineRule="exact"/>
              <w:ind w:left="0" w:right="0"/>
              <w:jc w:val="both"/>
              <w:textAlignment w:val="center"/>
              <w:rPr>
                <w:rFonts w:hint="eastAsia" w:ascii="Times New Roman" w:hAnsi="Times New Roman" w:eastAsia="方正仿宋_GBK" w:cs="Times New Roman"/>
                <w:i w:val="0"/>
                <w:iCs w:val="0"/>
                <w:kern w:val="0"/>
                <w:sz w:val="21"/>
                <w:szCs w:val="21"/>
              </w:rPr>
            </w:pPr>
            <w:r>
              <w:rPr>
                <w:rFonts w:hint="eastAsia" w:ascii="方正仿宋_GBK" w:hAnsi="方正仿宋_GBK" w:eastAsia="方正仿宋_GBK" w:cs="方正仿宋_GBK"/>
                <w:i w:val="0"/>
                <w:iCs w:val="0"/>
                <w:kern w:val="0"/>
                <w:sz w:val="21"/>
                <w:szCs w:val="21"/>
                <w:lang w:val="en-US" w:eastAsia="zh-CN" w:bidi="ar"/>
              </w:rPr>
              <w:t>（</w:t>
            </w:r>
            <w:r>
              <w:rPr>
                <w:rFonts w:hint="default" w:ascii="Times New Roman" w:hAnsi="Times New Roman" w:eastAsia="方正仿宋_GBK" w:cs="Times New Roman"/>
                <w:i w:val="0"/>
                <w:iCs w:val="0"/>
                <w:kern w:val="0"/>
                <w:sz w:val="21"/>
                <w:szCs w:val="21"/>
                <w:lang w:val="en-US" w:eastAsia="zh-CN" w:bidi="ar"/>
              </w:rPr>
              <w:t>2</w:t>
            </w:r>
            <w:r>
              <w:rPr>
                <w:rFonts w:hint="eastAsia" w:ascii="方正仿宋_GBK" w:hAnsi="方正仿宋_GBK" w:eastAsia="方正仿宋_GBK" w:cs="方正仿宋_GBK"/>
                <w:i w:val="0"/>
                <w:iCs w:val="0"/>
                <w:kern w:val="0"/>
                <w:sz w:val="21"/>
                <w:szCs w:val="21"/>
                <w:lang w:val="en-US" w:eastAsia="zh-CN" w:bidi="ar"/>
              </w:rPr>
              <w:t>）</w:t>
            </w:r>
            <w:r>
              <w:rPr>
                <w:rFonts w:hint="eastAsia" w:ascii="Times New Roman" w:hAnsi="Times New Roman" w:eastAsia="方正仿宋_GBK" w:cs="Times New Roman"/>
                <w:i w:val="0"/>
                <w:iCs w:val="0"/>
                <w:color w:val="auto"/>
                <w:kern w:val="0"/>
                <w:sz w:val="21"/>
                <w:szCs w:val="21"/>
                <w:highlight w:val="none"/>
                <w:u w:val="none"/>
                <w:lang w:val="en-US" w:eastAsia="zh-CN" w:bidi="ar"/>
              </w:rPr>
              <w:t>毕业于“双一流”院校，取得普通高等教育本科及以上学历并取得学士及以上相应学位，且所学专业与聘任岗位密切相关；或毕业于QS世界大学排名前</w:t>
            </w:r>
            <w:r>
              <w:rPr>
                <w:rFonts w:hint="eastAsia" w:cs="Times New Roman"/>
                <w:i w:val="0"/>
                <w:iCs w:val="0"/>
                <w:color w:val="auto"/>
                <w:kern w:val="0"/>
                <w:sz w:val="21"/>
                <w:szCs w:val="21"/>
                <w:highlight w:val="none"/>
                <w:u w:val="none"/>
                <w:lang w:val="en-US" w:eastAsia="zh-CN" w:bidi="ar"/>
              </w:rPr>
              <w:t>2</w:t>
            </w:r>
            <w:r>
              <w:rPr>
                <w:rFonts w:hint="eastAsia" w:ascii="Times New Roman" w:hAnsi="Times New Roman" w:eastAsia="方正仿宋_GBK" w:cs="Times New Roman"/>
                <w:i w:val="0"/>
                <w:iCs w:val="0"/>
                <w:color w:val="auto"/>
                <w:kern w:val="0"/>
                <w:sz w:val="21"/>
                <w:szCs w:val="21"/>
                <w:highlight w:val="none"/>
                <w:u w:val="none"/>
                <w:lang w:val="en-US" w:eastAsia="zh-CN" w:bidi="ar"/>
              </w:rPr>
              <w:t>00的国（境）外院校，取得相应学历学位，且所学专业与聘任岗位密切相关</w:t>
            </w:r>
            <w:r>
              <w:rPr>
                <w:rFonts w:hint="eastAsia" w:cs="Times New Roman"/>
                <w:i w:val="0"/>
                <w:iCs w:val="0"/>
                <w:color w:val="auto"/>
                <w:kern w:val="0"/>
                <w:sz w:val="21"/>
                <w:szCs w:val="21"/>
                <w:highlight w:val="none"/>
                <w:u w:val="none"/>
                <w:lang w:val="en-US" w:eastAsia="zh-CN" w:bidi="ar"/>
              </w:rPr>
              <w:t>；</w:t>
            </w:r>
          </w:p>
          <w:p w14:paraId="3A59FFD5">
            <w:pPr>
              <w:keepNext w:val="0"/>
              <w:keepLines w:val="0"/>
              <w:widowControl/>
              <w:suppressLineNumbers w:val="0"/>
              <w:autoSpaceDE w:val="0"/>
              <w:autoSpaceDN/>
              <w:spacing w:before="0" w:beforeAutospacing="0" w:after="0" w:afterAutospacing="0" w:line="300" w:lineRule="exact"/>
              <w:ind w:left="0" w:leftChars="0" w:right="0" w:rightChars="0"/>
              <w:jc w:val="both"/>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eastAsia" w:ascii="方正仿宋_GBK" w:hAnsi="方正仿宋_GBK" w:eastAsia="方正仿宋_GBK" w:cs="方正仿宋_GBK"/>
                <w:i w:val="0"/>
                <w:iCs w:val="0"/>
                <w:kern w:val="0"/>
                <w:sz w:val="21"/>
                <w:szCs w:val="21"/>
                <w:lang w:val="en-US" w:eastAsia="zh-CN" w:bidi="ar"/>
              </w:rPr>
              <w:t>（</w:t>
            </w:r>
            <w:r>
              <w:rPr>
                <w:rFonts w:hint="default" w:ascii="Times New Roman" w:hAnsi="Times New Roman" w:eastAsia="方正仿宋_GBK" w:cs="Times New Roman"/>
                <w:i w:val="0"/>
                <w:iCs w:val="0"/>
                <w:kern w:val="0"/>
                <w:sz w:val="21"/>
                <w:szCs w:val="21"/>
                <w:lang w:val="en-US" w:eastAsia="zh-CN" w:bidi="ar"/>
              </w:rPr>
              <w:t>3</w:t>
            </w:r>
            <w:r>
              <w:rPr>
                <w:rFonts w:hint="eastAsia" w:ascii="方正仿宋_GBK" w:hAnsi="方正仿宋_GBK" w:eastAsia="方正仿宋_GBK" w:cs="方正仿宋_GBK"/>
                <w:i w:val="0"/>
                <w:iCs w:val="0"/>
                <w:kern w:val="0"/>
                <w:sz w:val="21"/>
                <w:szCs w:val="21"/>
                <w:lang w:val="en-US" w:eastAsia="zh-CN" w:bidi="ar"/>
              </w:rPr>
              <w:t>）取得普通高等教育本科及以上学历并取得学士及以上相应学位，同时具备与聘任岗位密切相关的副高级及以上专业技术职称或岗位必需的特定职业资格证书。</w:t>
            </w:r>
          </w:p>
        </w:tc>
        <w:tc>
          <w:tcPr>
            <w:tcW w:w="27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8B3381">
            <w:pPr>
              <w:keepNext w:val="0"/>
              <w:keepLines w:val="0"/>
              <w:widowControl/>
              <w:suppressLineNumbers w:val="0"/>
              <w:autoSpaceDE w:val="0"/>
              <w:autoSpaceDN/>
              <w:spacing w:before="0" w:beforeAutospacing="0" w:after="0" w:afterAutospacing="0" w:line="300" w:lineRule="exact"/>
              <w:ind w:left="0" w:right="0"/>
              <w:jc w:val="left"/>
              <w:textAlignment w:val="center"/>
              <w:rPr>
                <w:rFonts w:hint="default" w:ascii="Times New Roman" w:hAnsi="Times New Roman" w:eastAsia="方正仿宋_GBK" w:cs="Times New Roman"/>
                <w:i w:val="0"/>
                <w:iCs w:val="0"/>
                <w:kern w:val="0"/>
                <w:sz w:val="21"/>
                <w:szCs w:val="21"/>
              </w:rPr>
            </w:pPr>
            <w:r>
              <w:rPr>
                <w:rFonts w:hint="eastAsia" w:ascii="方正仿宋_GBK" w:hAnsi="方正仿宋_GBK" w:eastAsia="方正仿宋_GBK" w:cs="方正仿宋_GBK"/>
                <w:b/>
                <w:bCs/>
                <w:i w:val="0"/>
                <w:iCs w:val="0"/>
                <w:kern w:val="0"/>
                <w:sz w:val="21"/>
                <w:szCs w:val="21"/>
                <w:lang w:val="en-US" w:eastAsia="zh-CN" w:bidi="ar"/>
              </w:rPr>
              <w:t>本科专业</w:t>
            </w:r>
            <w:r>
              <w:rPr>
                <w:rFonts w:hint="eastAsia" w:ascii="方正仿宋_GBK" w:hAnsi="方正仿宋_GBK" w:eastAsia="方正仿宋_GBK" w:cs="方正仿宋_GBK"/>
                <w:i w:val="0"/>
                <w:iCs w:val="0"/>
                <w:kern w:val="0"/>
                <w:sz w:val="21"/>
                <w:szCs w:val="21"/>
                <w:lang w:val="en-US" w:eastAsia="zh-CN" w:bidi="ar"/>
              </w:rPr>
              <w:t>：工商管理类、经济学类。</w:t>
            </w:r>
          </w:p>
          <w:p w14:paraId="5F563F13">
            <w:pPr>
              <w:keepNext w:val="0"/>
              <w:keepLines w:val="0"/>
              <w:widowControl/>
              <w:suppressLineNumbers w:val="0"/>
              <w:autoSpaceDE w:val="0"/>
              <w:autoSpaceDN/>
              <w:spacing w:before="0" w:beforeAutospacing="0" w:after="0" w:afterAutospacing="0" w:line="300" w:lineRule="exact"/>
              <w:ind w:left="0" w:leftChars="0" w:right="0" w:rightChars="0"/>
              <w:jc w:val="left"/>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eastAsia" w:ascii="方正仿宋_GBK" w:hAnsi="方正仿宋_GBK" w:eastAsia="方正仿宋_GBK" w:cs="方正仿宋_GBK"/>
                <w:b/>
                <w:bCs/>
                <w:i w:val="0"/>
                <w:iCs w:val="0"/>
                <w:kern w:val="0"/>
                <w:sz w:val="21"/>
                <w:szCs w:val="21"/>
                <w:lang w:val="en-US" w:eastAsia="zh-CN" w:bidi="ar"/>
              </w:rPr>
              <w:t>研究生专业</w:t>
            </w:r>
            <w:r>
              <w:rPr>
                <w:rFonts w:hint="eastAsia" w:ascii="方正仿宋_GBK" w:hAnsi="方正仿宋_GBK" w:eastAsia="方正仿宋_GBK" w:cs="方正仿宋_GBK"/>
                <w:i w:val="0"/>
                <w:iCs w:val="0"/>
                <w:kern w:val="0"/>
                <w:sz w:val="21"/>
                <w:szCs w:val="21"/>
                <w:lang w:val="en-US" w:eastAsia="zh-CN" w:bidi="ar"/>
              </w:rPr>
              <w:t>：工商管理学类、审计类、应用经济学类。</w:t>
            </w:r>
          </w:p>
        </w:tc>
        <w:tc>
          <w:tcPr>
            <w:tcW w:w="295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72B1B6">
            <w:pPr>
              <w:keepNext w:val="0"/>
              <w:keepLines w:val="0"/>
              <w:widowControl/>
              <w:numPr>
                <w:ilvl w:val="0"/>
                <w:numId w:val="1"/>
              </w:numPr>
              <w:suppressLineNumbers w:val="0"/>
              <w:spacing w:before="0" w:beforeAutospacing="0" w:after="0" w:afterAutospacing="0" w:line="300" w:lineRule="exact"/>
              <w:ind w:left="0" w:leftChars="0" w:right="0" w:rightChars="0" w:firstLine="0" w:firstLineChars="0"/>
              <w:jc w:val="both"/>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eastAsia" w:ascii="方正仿宋_GBK" w:hAnsi="方正仿宋_GBK" w:eastAsia="方正仿宋_GBK" w:cs="方正仿宋_GBK"/>
                <w:i w:val="0"/>
                <w:iCs w:val="0"/>
                <w:color w:val="auto"/>
                <w:kern w:val="0"/>
                <w:sz w:val="21"/>
                <w:szCs w:val="21"/>
                <w:lang w:val="en-US" w:eastAsia="zh-CN" w:bidi="ar"/>
              </w:rPr>
              <w:t>独立开展拟投或拟合作项目的财务尽职调查，核查财务报表真实性、税务合规性及会计核算规范性，评估项目财务状况与盈利能力，识别核心财务风险并出具财务尽调报告。</w:t>
            </w:r>
            <w:r>
              <w:rPr>
                <w:rFonts w:hint="eastAsia" w:ascii="Times New Roman" w:hAnsi="Times New Roman" w:eastAsia="方正仿宋_GBK" w:cs="Times New Roman"/>
                <w:i w:val="0"/>
                <w:iCs w:val="0"/>
                <w:color w:val="auto"/>
                <w:kern w:val="0"/>
                <w:sz w:val="21"/>
                <w:szCs w:val="21"/>
                <w:lang w:val="en-US" w:eastAsia="zh-CN" w:bidi="ar"/>
              </w:rPr>
              <w:br w:type="textWrapping"/>
            </w:r>
            <w:r>
              <w:rPr>
                <w:rFonts w:hint="default" w:ascii="Times New Roman" w:hAnsi="Times New Roman" w:eastAsia="方正仿宋_GBK" w:cs="Times New Roman"/>
                <w:i w:val="0"/>
                <w:iCs w:val="0"/>
                <w:color w:val="auto"/>
                <w:kern w:val="0"/>
                <w:sz w:val="21"/>
                <w:szCs w:val="21"/>
                <w:lang w:val="en-US" w:eastAsia="zh-CN" w:bidi="ar"/>
              </w:rPr>
              <w:t>2.</w:t>
            </w:r>
            <w:r>
              <w:rPr>
                <w:rFonts w:hint="eastAsia" w:ascii="方正仿宋_GBK" w:hAnsi="方正仿宋_GBK" w:eastAsia="方正仿宋_GBK" w:cs="方正仿宋_GBK"/>
                <w:i w:val="0"/>
                <w:iCs w:val="0"/>
                <w:color w:val="auto"/>
                <w:kern w:val="0"/>
                <w:sz w:val="21"/>
                <w:szCs w:val="21"/>
                <w:lang w:val="en-US" w:eastAsia="zh-CN" w:bidi="ar"/>
              </w:rPr>
              <w:t>参与项目估值测算与交易结构设计，从财务视角提供风控建议及交易条款优化意见，配合“技术</w:t>
            </w:r>
            <w:r>
              <w:rPr>
                <w:rFonts w:hint="default" w:ascii="Times New Roman" w:hAnsi="Times New Roman" w:eastAsia="方正仿宋_GBK" w:cs="Times New Roman"/>
                <w:i w:val="0"/>
                <w:iCs w:val="0"/>
                <w:color w:val="auto"/>
                <w:kern w:val="0"/>
                <w:sz w:val="21"/>
                <w:szCs w:val="21"/>
                <w:lang w:val="en-US" w:eastAsia="zh-CN" w:bidi="ar"/>
              </w:rPr>
              <w:t>+</w:t>
            </w:r>
            <w:r>
              <w:rPr>
                <w:rFonts w:hint="eastAsia" w:ascii="方正仿宋_GBK" w:hAnsi="方正仿宋_GBK" w:eastAsia="方正仿宋_GBK" w:cs="方正仿宋_GBK"/>
                <w:i w:val="0"/>
                <w:iCs w:val="0"/>
                <w:color w:val="auto"/>
                <w:kern w:val="0"/>
                <w:sz w:val="21"/>
                <w:szCs w:val="21"/>
                <w:lang w:val="en-US" w:eastAsia="zh-CN" w:bidi="ar"/>
              </w:rPr>
              <w:t>资本”合作模式的财务可行性分析。</w:t>
            </w:r>
            <w:r>
              <w:rPr>
                <w:rFonts w:hint="eastAsia" w:ascii="Times New Roman" w:hAnsi="Times New Roman" w:eastAsia="方正仿宋_GBK" w:cs="Times New Roman"/>
                <w:i w:val="0"/>
                <w:iCs w:val="0"/>
                <w:color w:val="auto"/>
                <w:kern w:val="0"/>
                <w:sz w:val="21"/>
                <w:szCs w:val="21"/>
                <w:lang w:val="en-US" w:eastAsia="zh-CN" w:bidi="ar"/>
              </w:rPr>
              <w:br w:type="textWrapping"/>
            </w:r>
            <w:r>
              <w:rPr>
                <w:rFonts w:hint="default" w:ascii="Times New Roman" w:hAnsi="Times New Roman" w:eastAsia="方正仿宋_GBK" w:cs="Times New Roman"/>
                <w:i w:val="0"/>
                <w:iCs w:val="0"/>
                <w:color w:val="auto"/>
                <w:kern w:val="0"/>
                <w:sz w:val="21"/>
                <w:szCs w:val="21"/>
                <w:lang w:val="en-US" w:eastAsia="zh-CN" w:bidi="ar"/>
              </w:rPr>
              <w:t>3.</w:t>
            </w:r>
            <w:r>
              <w:rPr>
                <w:rFonts w:hint="eastAsia" w:ascii="方正仿宋_GBK" w:hAnsi="方正仿宋_GBK" w:eastAsia="方正仿宋_GBK" w:cs="方正仿宋_GBK"/>
                <w:i w:val="0"/>
                <w:iCs w:val="0"/>
                <w:color w:val="auto"/>
                <w:kern w:val="0"/>
                <w:sz w:val="21"/>
                <w:szCs w:val="21"/>
                <w:lang w:val="en-US" w:eastAsia="zh-CN" w:bidi="ar"/>
              </w:rPr>
              <w:t>负责已投企业的投后财务监管，定期分析经营数据并预警风险；落实国有资产评估备案等合规工作，确保全流程符合国资监管要求。</w:t>
            </w:r>
          </w:p>
        </w:tc>
        <w:tc>
          <w:tcPr>
            <w:tcW w:w="2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FA8188">
            <w:pPr>
              <w:keepNext w:val="0"/>
              <w:keepLines w:val="0"/>
              <w:widowControl/>
              <w:suppressLineNumbers w:val="0"/>
              <w:autoSpaceDE w:val="0"/>
              <w:autoSpaceDN/>
              <w:spacing w:before="0" w:beforeAutospacing="0" w:after="0" w:afterAutospacing="0" w:line="300" w:lineRule="exact"/>
              <w:ind w:left="0" w:right="0"/>
              <w:jc w:val="both"/>
              <w:textAlignment w:val="center"/>
              <w:rPr>
                <w:rFonts w:hint="eastAsia" w:ascii="Times New Roman" w:hAnsi="Times New Roman" w:eastAsia="方正仿宋_GBK" w:cs="Times New Roman"/>
                <w:i w:val="0"/>
                <w:iCs w:val="0"/>
                <w:color w:val="auto"/>
                <w:kern w:val="0"/>
                <w:sz w:val="21"/>
                <w:szCs w:val="21"/>
              </w:rPr>
            </w:pPr>
            <w:r>
              <w:rPr>
                <w:rFonts w:hint="default" w:ascii="Times New Roman" w:hAnsi="Times New Roman" w:eastAsia="方正仿宋_GBK" w:cs="Times New Roman"/>
                <w:i w:val="0"/>
                <w:iCs w:val="0"/>
                <w:color w:val="auto"/>
                <w:kern w:val="0"/>
                <w:sz w:val="21"/>
                <w:szCs w:val="21"/>
                <w:lang w:val="en-US" w:eastAsia="zh-CN" w:bidi="ar"/>
              </w:rPr>
              <w:t>1.</w:t>
            </w:r>
            <w:r>
              <w:rPr>
                <w:rFonts w:hint="eastAsia" w:ascii="方正仿宋_GBK" w:hAnsi="方正仿宋_GBK" w:eastAsia="方正仿宋_GBK" w:cs="方正仿宋_GBK"/>
                <w:i w:val="0"/>
                <w:iCs w:val="0"/>
                <w:color w:val="auto"/>
                <w:kern w:val="0"/>
                <w:sz w:val="21"/>
                <w:szCs w:val="21"/>
                <w:lang w:val="en-US" w:eastAsia="zh-CN" w:bidi="ar"/>
              </w:rPr>
              <w:t>具有</w:t>
            </w:r>
            <w:r>
              <w:rPr>
                <w:rFonts w:hint="default" w:ascii="Times New Roman" w:hAnsi="Times New Roman" w:eastAsia="方正仿宋_GBK" w:cs="Times New Roman"/>
                <w:i w:val="0"/>
                <w:iCs w:val="0"/>
                <w:color w:val="auto"/>
                <w:kern w:val="0"/>
                <w:sz w:val="21"/>
                <w:szCs w:val="21"/>
                <w:lang w:val="en-US" w:eastAsia="zh-CN" w:bidi="ar"/>
              </w:rPr>
              <w:t>5</w:t>
            </w:r>
            <w:r>
              <w:rPr>
                <w:rFonts w:hint="eastAsia" w:ascii="方正仿宋_GBK" w:hAnsi="方正仿宋_GBK" w:eastAsia="方正仿宋_GBK" w:cs="方正仿宋_GBK"/>
                <w:i w:val="0"/>
                <w:iCs w:val="0"/>
                <w:color w:val="auto"/>
                <w:kern w:val="0"/>
                <w:sz w:val="21"/>
                <w:szCs w:val="21"/>
                <w:lang w:val="en-US" w:eastAsia="zh-CN" w:bidi="ar"/>
              </w:rPr>
              <w:t>年以上财务管理、审计、财务尽调或财务投资管理相关工作经验；</w:t>
            </w:r>
          </w:p>
          <w:p w14:paraId="44B270E5">
            <w:pPr>
              <w:keepNext w:val="0"/>
              <w:keepLines w:val="0"/>
              <w:widowControl/>
              <w:suppressLineNumbers w:val="0"/>
              <w:autoSpaceDE w:val="0"/>
              <w:autoSpaceDN/>
              <w:spacing w:before="0" w:beforeAutospacing="0" w:after="0" w:afterAutospacing="0" w:line="300" w:lineRule="exact"/>
              <w:ind w:left="0" w:leftChars="0" w:right="0" w:rightChars="0"/>
              <w:jc w:val="both"/>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default" w:ascii="Times New Roman" w:hAnsi="Times New Roman" w:eastAsia="方正仿宋_GBK" w:cs="Times New Roman"/>
                <w:i w:val="0"/>
                <w:iCs w:val="0"/>
                <w:color w:val="auto"/>
                <w:kern w:val="0"/>
                <w:sz w:val="21"/>
                <w:szCs w:val="21"/>
                <w:lang w:val="en-US" w:eastAsia="zh-CN" w:bidi="ar"/>
              </w:rPr>
              <w:t>2.</w:t>
            </w:r>
            <w:r>
              <w:rPr>
                <w:rFonts w:hint="eastAsia" w:ascii="方正仿宋_GBK" w:hAnsi="方正仿宋_GBK" w:eastAsia="方正仿宋_GBK" w:cs="方正仿宋_GBK"/>
                <w:i w:val="0"/>
                <w:iCs w:val="0"/>
                <w:color w:val="auto"/>
                <w:kern w:val="0"/>
                <w:sz w:val="21"/>
                <w:szCs w:val="21"/>
                <w:lang w:val="en-US" w:eastAsia="zh-CN" w:bidi="ar"/>
              </w:rPr>
              <w:t>具有产业投资、私募股权基金、会计师事务所等相关岗位财务投资管理经验者优先。</w:t>
            </w:r>
          </w:p>
        </w:tc>
      </w:tr>
      <w:tr w14:paraId="69A91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75" w:hRule="atLeast"/>
          <w:jc w:val="center"/>
        </w:trPr>
        <w:tc>
          <w:tcPr>
            <w:tcW w:w="532" w:type="dxa"/>
            <w:tcBorders>
              <w:top w:val="single" w:color="000000" w:sz="4" w:space="0"/>
              <w:left w:val="single" w:color="000000" w:sz="4" w:space="0"/>
              <w:bottom w:val="single" w:color="000000" w:sz="4" w:space="0"/>
              <w:right w:val="single" w:color="000000" w:sz="4" w:space="0"/>
            </w:tcBorders>
            <w:noWrap w:val="0"/>
            <w:vAlign w:val="center"/>
          </w:tcPr>
          <w:p w14:paraId="12234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eastAsia="方正仿宋_GBK" w:cs="Times New Roman"/>
                <w:i w:val="0"/>
                <w:iCs w:val="0"/>
                <w:color w:val="auto"/>
                <w:kern w:val="0"/>
                <w:sz w:val="21"/>
                <w:szCs w:val="21"/>
                <w:highlight w:val="none"/>
                <w:u w:val="none"/>
                <w:lang w:val="en-US" w:eastAsia="zh" w:bidi="ar"/>
              </w:rPr>
            </w:pPr>
            <w:r>
              <w:rPr>
                <w:rFonts w:hint="eastAsia" w:cs="Times New Roman"/>
                <w:i w:val="0"/>
                <w:iCs w:val="0"/>
                <w:color w:val="auto"/>
                <w:kern w:val="0"/>
                <w:sz w:val="21"/>
                <w:szCs w:val="21"/>
                <w:highlight w:val="none"/>
                <w:u w:val="none"/>
                <w:lang w:val="en-US" w:eastAsia="zh" w:bidi="ar"/>
              </w:rPr>
              <w:t>3</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A21ED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规划发展岗</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14:paraId="3E859E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2B306A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3个月</w:t>
            </w:r>
          </w:p>
        </w:tc>
        <w:tc>
          <w:tcPr>
            <w:tcW w:w="769" w:type="dxa"/>
            <w:tcBorders>
              <w:top w:val="single" w:color="000000" w:sz="4" w:space="0"/>
              <w:left w:val="single" w:color="000000" w:sz="4" w:space="0"/>
              <w:bottom w:val="single" w:color="000000" w:sz="4" w:space="0"/>
              <w:right w:val="single" w:color="000000" w:sz="4" w:space="0"/>
            </w:tcBorders>
            <w:noWrap w:val="0"/>
            <w:vAlign w:val="center"/>
          </w:tcPr>
          <w:p w14:paraId="463C07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40</w:t>
            </w:r>
            <w:r>
              <w:rPr>
                <w:rFonts w:hint="default" w:ascii="Times New Roman" w:hAnsi="Times New Roman" w:eastAsia="方正仿宋_GBK" w:cs="Times New Roman"/>
                <w:i w:val="0"/>
                <w:iCs w:val="0"/>
                <w:color w:val="auto"/>
                <w:kern w:val="0"/>
                <w:sz w:val="21"/>
                <w:szCs w:val="21"/>
                <w:highlight w:val="none"/>
                <w:u w:val="none"/>
                <w:lang w:val="en-US" w:eastAsia="zh-CN" w:bidi="ar"/>
              </w:rPr>
              <w:t>周岁及以下</w:t>
            </w:r>
          </w:p>
        </w:tc>
        <w:tc>
          <w:tcPr>
            <w:tcW w:w="2938" w:type="dxa"/>
            <w:tcBorders>
              <w:top w:val="single" w:color="000000" w:sz="4" w:space="0"/>
              <w:left w:val="single" w:color="000000" w:sz="4" w:space="0"/>
              <w:bottom w:val="single" w:color="000000" w:sz="4" w:space="0"/>
              <w:right w:val="single" w:color="000000" w:sz="4" w:space="0"/>
            </w:tcBorders>
            <w:noWrap w:val="0"/>
            <w:vAlign w:val="center"/>
          </w:tcPr>
          <w:p w14:paraId="335502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Times New Roman" w:hAnsi="Times New Roman" w:eastAsia="方正仿宋_GBK"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需</w:t>
            </w:r>
            <w:r>
              <w:rPr>
                <w:rFonts w:hint="eastAsia" w:ascii="Times New Roman" w:hAnsi="Times New Roman" w:eastAsia="方正仿宋_GBK" w:cs="Times New Roman"/>
                <w:i w:val="0"/>
                <w:iCs w:val="0"/>
                <w:color w:val="auto"/>
                <w:kern w:val="0"/>
                <w:sz w:val="21"/>
                <w:szCs w:val="21"/>
                <w:highlight w:val="none"/>
                <w:u w:val="none"/>
                <w:lang w:val="en-US" w:eastAsia="zh-CN" w:bidi="ar"/>
              </w:rPr>
              <w:t>满足以下条件之一：</w:t>
            </w:r>
          </w:p>
          <w:p w14:paraId="5286B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Times New Roman" w:hAnsi="Times New Roman" w:eastAsia="方正仿宋_GBK" w:cs="Times New Roman"/>
                <w:i w:val="0"/>
                <w:iCs w:val="0"/>
                <w:color w:val="auto"/>
                <w:kern w:val="0"/>
                <w:sz w:val="21"/>
                <w:szCs w:val="21"/>
                <w:highlight w:val="none"/>
                <w:u w:val="none"/>
                <w:lang w:val="en-US" w:eastAsia="zh-CN" w:bidi="ar"/>
              </w:rPr>
            </w:pPr>
            <w:r>
              <w:rPr>
                <w:rFonts w:hint="eastAsia" w:ascii="Times New Roman" w:hAnsi="Times New Roman" w:eastAsia="方正仿宋_GBK" w:cs="Times New Roman"/>
                <w:i w:val="0"/>
                <w:iCs w:val="0"/>
                <w:color w:val="auto"/>
                <w:kern w:val="0"/>
                <w:sz w:val="21"/>
                <w:szCs w:val="21"/>
                <w:highlight w:val="none"/>
                <w:u w:val="none"/>
                <w:lang w:val="en-US" w:eastAsia="zh-CN" w:bidi="ar"/>
              </w:rPr>
              <w:t>（1）取得普通高等教育研究生学历并取得硕士及以上相应学位，且所学专业与聘任岗位密切相关；</w:t>
            </w:r>
          </w:p>
          <w:p w14:paraId="4F2601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Times New Roman" w:hAnsi="Times New Roman" w:eastAsia="方正仿宋_GBK" w:cs="Times New Roman"/>
                <w:i w:val="0"/>
                <w:iCs w:val="0"/>
                <w:color w:val="auto"/>
                <w:kern w:val="0"/>
                <w:sz w:val="21"/>
                <w:szCs w:val="21"/>
                <w:highlight w:val="none"/>
                <w:u w:val="none"/>
                <w:lang w:val="en-US" w:eastAsia="zh-CN" w:bidi="ar"/>
              </w:rPr>
            </w:pPr>
            <w:r>
              <w:rPr>
                <w:rFonts w:hint="eastAsia" w:ascii="Times New Roman" w:hAnsi="Times New Roman" w:eastAsia="方正仿宋_GBK" w:cs="Times New Roman"/>
                <w:i w:val="0"/>
                <w:iCs w:val="0"/>
                <w:color w:val="auto"/>
                <w:kern w:val="0"/>
                <w:sz w:val="21"/>
                <w:szCs w:val="21"/>
                <w:highlight w:val="none"/>
                <w:u w:val="none"/>
                <w:lang w:val="en-US" w:eastAsia="zh-CN" w:bidi="ar"/>
              </w:rPr>
              <w:t>（2）毕业于“双一流”院校，取得普通高等教育本科及以上学历并取得学士及以上相应学位，且所学专业与聘任岗位密切相关；或毕业于QS世界大学排名前</w:t>
            </w:r>
            <w:r>
              <w:rPr>
                <w:rFonts w:hint="eastAsia" w:cs="Times New Roman"/>
                <w:i w:val="0"/>
                <w:iCs w:val="0"/>
                <w:color w:val="auto"/>
                <w:kern w:val="0"/>
                <w:sz w:val="21"/>
                <w:szCs w:val="21"/>
                <w:highlight w:val="none"/>
                <w:u w:val="none"/>
                <w:lang w:val="en-US" w:eastAsia="zh-CN" w:bidi="ar"/>
              </w:rPr>
              <w:t>2</w:t>
            </w:r>
            <w:r>
              <w:rPr>
                <w:rFonts w:hint="eastAsia" w:ascii="Times New Roman" w:hAnsi="Times New Roman" w:eastAsia="方正仿宋_GBK" w:cs="Times New Roman"/>
                <w:i w:val="0"/>
                <w:iCs w:val="0"/>
                <w:color w:val="auto"/>
                <w:kern w:val="0"/>
                <w:sz w:val="21"/>
                <w:szCs w:val="21"/>
                <w:highlight w:val="none"/>
                <w:u w:val="none"/>
                <w:lang w:val="en-US" w:eastAsia="zh-CN" w:bidi="ar"/>
              </w:rPr>
              <w:t>00的国（境）外院校，取得相应学历学位，且所学专业与聘任岗位密切相关</w:t>
            </w:r>
            <w:r>
              <w:rPr>
                <w:rFonts w:hint="eastAsia" w:cs="Times New Roman"/>
                <w:i w:val="0"/>
                <w:iCs w:val="0"/>
                <w:color w:val="auto"/>
                <w:kern w:val="0"/>
                <w:sz w:val="21"/>
                <w:szCs w:val="21"/>
                <w:highlight w:val="none"/>
                <w:u w:val="none"/>
                <w:lang w:val="en-US" w:eastAsia="zh-CN" w:bidi="ar"/>
              </w:rPr>
              <w:t>；</w:t>
            </w:r>
          </w:p>
          <w:p w14:paraId="7DAABD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Times New Roman" w:hAnsi="Times New Roman" w:eastAsia="方正仿宋_GBK" w:cs="Times New Roman"/>
                <w:i w:val="0"/>
                <w:iCs w:val="0"/>
                <w:color w:val="auto"/>
                <w:kern w:val="0"/>
                <w:sz w:val="21"/>
                <w:szCs w:val="21"/>
                <w:highlight w:val="none"/>
                <w:u w:val="none"/>
                <w:lang w:val="en-US" w:eastAsia="zh-CN" w:bidi="ar"/>
              </w:rPr>
            </w:pPr>
            <w:r>
              <w:rPr>
                <w:rFonts w:hint="eastAsia" w:ascii="Times New Roman" w:hAnsi="Times New Roman" w:eastAsia="方正仿宋_GBK" w:cs="Times New Roman"/>
                <w:i w:val="0"/>
                <w:iCs w:val="0"/>
                <w:color w:val="auto"/>
                <w:kern w:val="0"/>
                <w:sz w:val="21"/>
                <w:szCs w:val="21"/>
                <w:highlight w:val="none"/>
                <w:u w:val="none"/>
                <w:lang w:val="en-US" w:eastAsia="zh-CN" w:bidi="ar"/>
              </w:rPr>
              <w:t>（3）取得普通高等教育本科及以上学历并取得学士及以上相应学位，同时具备与聘任岗位密切相关的副高级及以上专业技术职称或岗位必需的特定职业资格证书。</w:t>
            </w:r>
          </w:p>
        </w:tc>
        <w:tc>
          <w:tcPr>
            <w:tcW w:w="2764" w:type="dxa"/>
            <w:tcBorders>
              <w:top w:val="single" w:color="000000" w:sz="4" w:space="0"/>
              <w:left w:val="single" w:color="000000" w:sz="4" w:space="0"/>
              <w:bottom w:val="single" w:color="000000" w:sz="4" w:space="0"/>
              <w:right w:val="single" w:color="000000" w:sz="4" w:space="0"/>
            </w:tcBorders>
            <w:noWrap w:val="0"/>
            <w:vAlign w:val="center"/>
          </w:tcPr>
          <w:p w14:paraId="02DA3E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cs="Times New Roman"/>
                <w:b/>
                <w:bCs/>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本科专业：</w:t>
            </w:r>
            <w:r>
              <w:rPr>
                <w:rFonts w:hint="eastAsia" w:cs="Times New Roman"/>
                <w:b w:val="0"/>
                <w:bCs w:val="0"/>
                <w:i w:val="0"/>
                <w:iCs w:val="0"/>
                <w:color w:val="auto"/>
                <w:kern w:val="0"/>
                <w:sz w:val="21"/>
                <w:szCs w:val="21"/>
                <w:highlight w:val="none"/>
                <w:u w:val="none"/>
                <w:lang w:val="en-US" w:eastAsia="zh-CN" w:bidi="ar"/>
              </w:rPr>
              <w:t>中国语言文学类、经济学类，经济贸易类、工商管理类。</w:t>
            </w:r>
          </w:p>
          <w:p w14:paraId="4425F8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default" w:cs="Times New Roman"/>
                <w:b w:val="0"/>
                <w:bCs w:val="0"/>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研究生专业：</w:t>
            </w:r>
            <w:r>
              <w:rPr>
                <w:rFonts w:hint="eastAsia" w:cs="Times New Roman"/>
                <w:b w:val="0"/>
                <w:bCs w:val="0"/>
                <w:i w:val="0"/>
                <w:iCs w:val="0"/>
                <w:color w:val="auto"/>
                <w:kern w:val="0"/>
                <w:sz w:val="21"/>
                <w:szCs w:val="21"/>
                <w:highlight w:val="none"/>
                <w:u w:val="none"/>
                <w:lang w:val="en-US" w:eastAsia="zh-CN" w:bidi="ar"/>
              </w:rPr>
              <w:t>中国语言文学类、应用经济学类、工商管理学类。</w:t>
            </w:r>
          </w:p>
          <w:p w14:paraId="2559D8CC">
            <w:pPr>
              <w:pStyle w:val="3"/>
              <w:keepNext w:val="0"/>
              <w:keepLines w:val="0"/>
              <w:suppressLineNumbers w:val="0"/>
              <w:spacing w:before="0" w:beforeAutospacing="0" w:after="0" w:afterAutospacing="0"/>
              <w:ind w:left="0" w:right="0"/>
              <w:rPr>
                <w:rFonts w:hint="eastAsia" w:cs="Times New Roman"/>
                <w:b/>
                <w:bCs/>
                <w:i w:val="0"/>
                <w:iCs w:val="0"/>
                <w:color w:val="auto"/>
                <w:kern w:val="0"/>
                <w:sz w:val="21"/>
                <w:szCs w:val="21"/>
                <w:highlight w:val="none"/>
                <w:u w:val="none"/>
                <w:lang w:val="en-US" w:eastAsia="zh-CN" w:bidi="ar"/>
              </w:rPr>
            </w:pPr>
          </w:p>
          <w:p w14:paraId="366550E8">
            <w:pPr>
              <w:keepNext w:val="0"/>
              <w:keepLines w:val="0"/>
              <w:suppressLineNumbers w:val="0"/>
              <w:spacing w:before="0" w:beforeAutospacing="0" w:after="0" w:afterAutospacing="0"/>
              <w:ind w:left="0" w:right="0"/>
              <w:rPr>
                <w:rFonts w:hint="default"/>
                <w:sz w:val="21"/>
                <w:szCs w:val="21"/>
                <w:highlight w:val="none"/>
                <w:lang w:val="en-US" w:eastAsia="zh-CN"/>
              </w:rPr>
            </w:pPr>
          </w:p>
        </w:tc>
        <w:tc>
          <w:tcPr>
            <w:tcW w:w="2959" w:type="dxa"/>
            <w:tcBorders>
              <w:top w:val="single" w:color="000000" w:sz="4" w:space="0"/>
              <w:left w:val="single" w:color="000000" w:sz="4" w:space="0"/>
              <w:bottom w:val="single" w:color="000000" w:sz="4" w:space="0"/>
              <w:right w:val="single" w:color="000000" w:sz="4" w:space="0"/>
            </w:tcBorders>
            <w:noWrap w:val="0"/>
            <w:vAlign w:val="center"/>
          </w:tcPr>
          <w:p w14:paraId="013027F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center"/>
              <w:rPr>
                <w:rFonts w:hint="eastAsia" w:ascii="Times New Roman" w:hAnsi="Times New Roman" w:eastAsia="方正仿宋_GB2312" w:cs="Times New Roman"/>
                <w:b w:val="0"/>
                <w:i w:val="0"/>
                <w:color w:val="000000"/>
                <w:sz w:val="21"/>
                <w:szCs w:val="21"/>
                <w:highlight w:val="none"/>
                <w:vertAlign w:val="baseline"/>
                <w:lang w:val="en-US" w:eastAsia="zh-CN"/>
              </w:rPr>
            </w:pPr>
            <w:r>
              <w:rPr>
                <w:rFonts w:hint="eastAsia" w:eastAsia="方正仿宋_GB2312" w:cs="Times New Roman"/>
                <w:b w:val="0"/>
                <w:i w:val="0"/>
                <w:color w:val="000000"/>
                <w:sz w:val="21"/>
                <w:szCs w:val="21"/>
                <w:highlight w:val="none"/>
                <w:vertAlign w:val="baseline"/>
                <w:lang w:val="en-US" w:eastAsia="zh-CN"/>
              </w:rPr>
              <w:t>1.</w:t>
            </w:r>
            <w:r>
              <w:rPr>
                <w:rFonts w:hint="eastAsia" w:ascii="Times New Roman" w:hAnsi="Times New Roman" w:eastAsia="方正仿宋_GB2312" w:cs="Times New Roman"/>
                <w:b w:val="0"/>
                <w:i w:val="0"/>
                <w:color w:val="000000"/>
                <w:sz w:val="21"/>
                <w:szCs w:val="21"/>
                <w:highlight w:val="none"/>
                <w:vertAlign w:val="baseline"/>
                <w:lang w:val="en-US" w:eastAsia="zh-CN"/>
              </w:rPr>
              <w:t>战略规划管理：参与公司中长期发展战略、年度经营规划的研讨、编制与修订工作，结合行业发展趋势、市场环境及公司经营现状，协助优化战略布局与发展举措；全程跟进战略规划落地执行，跟踪推进成效、梳理落地问题，形成闭环管理，保障公司战略目标有序落地。</w:t>
            </w:r>
          </w:p>
          <w:p w14:paraId="0696950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center"/>
              <w:rPr>
                <w:rFonts w:hint="eastAsia" w:ascii="Times New Roman" w:hAnsi="Times New Roman" w:eastAsia="方正仿宋_GB2312" w:cs="Times New Roman"/>
                <w:b w:val="0"/>
                <w:i w:val="0"/>
                <w:color w:val="000000"/>
                <w:sz w:val="21"/>
                <w:szCs w:val="21"/>
                <w:highlight w:val="none"/>
                <w:vertAlign w:val="baseline"/>
                <w:lang w:val="en-US" w:eastAsia="zh-CN"/>
              </w:rPr>
            </w:pPr>
            <w:r>
              <w:rPr>
                <w:rFonts w:hint="eastAsia" w:eastAsia="方正仿宋_GB2312" w:cs="Times New Roman"/>
                <w:b w:val="0"/>
                <w:i w:val="0"/>
                <w:color w:val="000000"/>
                <w:sz w:val="21"/>
                <w:szCs w:val="21"/>
                <w:highlight w:val="none"/>
                <w:vertAlign w:val="baseline"/>
                <w:lang w:val="en-US" w:eastAsia="zh-CN"/>
              </w:rPr>
              <w:t>2.</w:t>
            </w:r>
            <w:r>
              <w:rPr>
                <w:rFonts w:hint="eastAsia" w:ascii="Times New Roman" w:hAnsi="Times New Roman" w:eastAsia="方正仿宋_GB2312" w:cs="Times New Roman"/>
                <w:b w:val="0"/>
                <w:i w:val="0"/>
                <w:color w:val="000000"/>
                <w:sz w:val="21"/>
                <w:szCs w:val="21"/>
                <w:highlight w:val="none"/>
                <w:vertAlign w:val="baseline"/>
                <w:lang w:val="en-US" w:eastAsia="zh-CN"/>
              </w:rPr>
              <w:t>改革重点工作统筹：牵头统筹公司改革发展、专项攻坚等重点任务，根据总体部署细化实施方案、分解工作举措、明确时间节点与责任分工；常态化跟进任务推进进度，统筹协调各部门对接联动，主动排查、协调破解推进过程中的堵点、难点问题，严控工作质量与时效，确保各项改革及重点工作提质增效、落地见效。</w:t>
            </w:r>
          </w:p>
          <w:p w14:paraId="2246A58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center"/>
              <w:rPr>
                <w:rFonts w:hint="default"/>
                <w:sz w:val="21"/>
                <w:szCs w:val="21"/>
                <w:highlight w:val="none"/>
                <w:lang w:val="en-US" w:eastAsia="zh-CN"/>
              </w:rPr>
            </w:pPr>
            <w:r>
              <w:rPr>
                <w:rFonts w:hint="eastAsia" w:eastAsia="方正仿宋_GB2312" w:cs="Times New Roman"/>
                <w:b w:val="0"/>
                <w:i w:val="0"/>
                <w:color w:val="000000"/>
                <w:sz w:val="21"/>
                <w:szCs w:val="21"/>
                <w:highlight w:val="none"/>
                <w:vertAlign w:val="baseline"/>
                <w:lang w:val="en-US" w:eastAsia="zh-CN"/>
              </w:rPr>
              <w:t>3.</w:t>
            </w:r>
            <w:r>
              <w:rPr>
                <w:rFonts w:hint="eastAsia" w:ascii="Times New Roman" w:hAnsi="Times New Roman" w:eastAsia="方正仿宋_GB2312" w:cs="Times New Roman"/>
                <w:b w:val="0"/>
                <w:i w:val="0"/>
                <w:color w:val="000000"/>
                <w:sz w:val="21"/>
                <w:szCs w:val="21"/>
                <w:highlight w:val="none"/>
                <w:vertAlign w:val="baseline"/>
                <w:lang w:val="en-US" w:eastAsia="zh-CN"/>
              </w:rPr>
              <w:t>综合文书工作：负责公司相关文字材料的统筹、撰写与质量把控，牵头起草、修订相关材料，统一行文规范、严谨审核内容。</w:t>
            </w:r>
          </w:p>
        </w:tc>
        <w:tc>
          <w:tcPr>
            <w:tcW w:w="2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8EBFC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1.中共党员。</w:t>
            </w:r>
          </w:p>
          <w:p w14:paraId="0015E81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2.文字功底扎实，逻辑清晰，熟练掌握政府、国企公文撰写；熟练使用PPT等办公工具，可高效完成汇报材料制作。</w:t>
            </w:r>
          </w:p>
          <w:p w14:paraId="7193DC7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default"/>
                <w:sz w:val="21"/>
                <w:szCs w:val="21"/>
                <w:highlight w:val="none"/>
                <w:lang w:val="en-US" w:eastAsia="zh-CN"/>
              </w:rPr>
            </w:pPr>
            <w:r>
              <w:rPr>
                <w:rFonts w:hint="eastAsia" w:cs="Times New Roman"/>
                <w:i w:val="0"/>
                <w:iCs w:val="0"/>
                <w:color w:val="auto"/>
                <w:kern w:val="0"/>
                <w:sz w:val="21"/>
                <w:szCs w:val="21"/>
                <w:highlight w:val="none"/>
                <w:u w:val="none"/>
                <w:lang w:val="en-US" w:eastAsia="zh-CN" w:bidi="ar"/>
              </w:rPr>
              <w:t>3.具备较强的统筹协调、内外对接及资源整合能力，擅长跨部门协同攻坚。</w:t>
            </w:r>
          </w:p>
        </w:tc>
      </w:tr>
      <w:tr w14:paraId="03D8E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4" w:hRule="atLeast"/>
          <w:jc w:val="center"/>
        </w:trPr>
        <w:tc>
          <w:tcPr>
            <w:tcW w:w="532" w:type="dxa"/>
            <w:tcBorders>
              <w:top w:val="single" w:color="000000" w:sz="4" w:space="0"/>
              <w:left w:val="single" w:color="000000" w:sz="4" w:space="0"/>
              <w:bottom w:val="single" w:color="000000" w:sz="4" w:space="0"/>
              <w:right w:val="single" w:color="000000" w:sz="4" w:space="0"/>
            </w:tcBorders>
            <w:noWrap w:val="0"/>
            <w:vAlign w:val="center"/>
          </w:tcPr>
          <w:p w14:paraId="04904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center"/>
              <w:rPr>
                <w:rFonts w:hint="eastAsia" w:cs="Times New Roman"/>
                <w:i w:val="0"/>
                <w:iCs w:val="0"/>
                <w:color w:val="auto"/>
                <w:kern w:val="0"/>
                <w:sz w:val="21"/>
                <w:szCs w:val="21"/>
                <w:highlight w:val="none"/>
                <w:u w:val="none"/>
                <w:lang w:val="en-US" w:eastAsia="zh" w:bidi="ar"/>
              </w:rPr>
            </w:pPr>
            <w:r>
              <w:rPr>
                <w:rFonts w:hint="eastAsia" w:cs="Times New Roman"/>
                <w:i w:val="0"/>
                <w:iCs w:val="0"/>
                <w:color w:val="auto"/>
                <w:kern w:val="0"/>
                <w:sz w:val="21"/>
                <w:szCs w:val="21"/>
                <w:highlight w:val="none"/>
                <w:u w:val="none"/>
                <w:lang w:val="en-US" w:eastAsia="zh" w:bidi="ar"/>
              </w:rPr>
              <w:t>4</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2D5802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中试运营岗</w:t>
            </w:r>
          </w:p>
          <w:p w14:paraId="6055AB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center"/>
              <w:rPr>
                <w:rFonts w:hint="eastAsia" w:eastAsia="方正仿宋_GBK" w:cs="Times New Roman"/>
                <w:i w:val="0"/>
                <w:iCs w:val="0"/>
                <w:color w:val="auto"/>
                <w:kern w:val="0"/>
                <w:sz w:val="21"/>
                <w:szCs w:val="21"/>
                <w:highlight w:val="none"/>
                <w:u w:val="none"/>
                <w:lang w:val="en-US" w:eastAsia="zh" w:bidi="ar"/>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14:paraId="386BFA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center"/>
              <w:rPr>
                <w:rFonts w:hint="eastAsia" w:eastAsia="方正仿宋_GBK" w:cs="Times New Roman"/>
                <w:i w:val="0"/>
                <w:iCs w:val="0"/>
                <w:color w:val="auto"/>
                <w:kern w:val="0"/>
                <w:sz w:val="21"/>
                <w:szCs w:val="21"/>
                <w:highlight w:val="none"/>
                <w:u w:val="none"/>
                <w:lang w:val="en-US" w:eastAsia="zh" w:bidi="ar"/>
              </w:rPr>
            </w:pPr>
            <w:r>
              <w:rPr>
                <w:rFonts w:hint="eastAsia" w:cs="Times New Roman"/>
                <w:i w:val="0"/>
                <w:iCs w:val="0"/>
                <w:color w:val="auto"/>
                <w:kern w:val="0"/>
                <w:sz w:val="21"/>
                <w:szCs w:val="21"/>
                <w:highlight w:val="none"/>
                <w:u w:val="none"/>
                <w:lang w:val="en-US" w:eastAsia="zh" w:bidi="ar"/>
              </w:rPr>
              <w:t>1</w:t>
            </w:r>
          </w:p>
        </w:tc>
        <w:tc>
          <w:tcPr>
            <w:tcW w:w="876" w:type="dxa"/>
            <w:tcBorders>
              <w:top w:val="single" w:color="000000" w:sz="4" w:space="0"/>
              <w:left w:val="single" w:color="000000" w:sz="4" w:space="0"/>
              <w:bottom w:val="single" w:color="000000" w:sz="4" w:space="0"/>
              <w:right w:val="single" w:color="000000" w:sz="4" w:space="0"/>
            </w:tcBorders>
            <w:noWrap w:val="0"/>
            <w:vAlign w:val="center"/>
          </w:tcPr>
          <w:p w14:paraId="1293F2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center"/>
              <w:rPr>
                <w:rFonts w:hint="eastAsia" w:eastAsia="方正仿宋_GBK" w:cs="Times New Roman"/>
                <w:i w:val="0"/>
                <w:iCs w:val="0"/>
                <w:color w:val="auto"/>
                <w:kern w:val="0"/>
                <w:sz w:val="21"/>
                <w:szCs w:val="21"/>
                <w:highlight w:val="none"/>
                <w:u w:val="none"/>
                <w:lang w:val="en-US" w:eastAsia="zh" w:bidi="ar"/>
              </w:rPr>
            </w:pPr>
            <w:r>
              <w:rPr>
                <w:rFonts w:hint="eastAsia" w:cs="Times New Roman"/>
                <w:i w:val="0"/>
                <w:iCs w:val="0"/>
                <w:color w:val="auto"/>
                <w:kern w:val="0"/>
                <w:sz w:val="21"/>
                <w:szCs w:val="21"/>
                <w:highlight w:val="none"/>
                <w:u w:val="none"/>
                <w:lang w:val="en-US" w:eastAsia="zh" w:bidi="ar"/>
              </w:rPr>
              <w:t>3个月</w:t>
            </w:r>
          </w:p>
        </w:tc>
        <w:tc>
          <w:tcPr>
            <w:tcW w:w="769" w:type="dxa"/>
            <w:tcBorders>
              <w:top w:val="single" w:color="000000" w:sz="4" w:space="0"/>
              <w:left w:val="single" w:color="000000" w:sz="4" w:space="0"/>
              <w:bottom w:val="single" w:color="000000" w:sz="4" w:space="0"/>
              <w:right w:val="single" w:color="000000" w:sz="4" w:space="0"/>
            </w:tcBorders>
            <w:noWrap w:val="0"/>
            <w:vAlign w:val="center"/>
          </w:tcPr>
          <w:p w14:paraId="1AB7F6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center"/>
              <w:rPr>
                <w:rFonts w:hint="default" w:ascii="Times New Roman" w:hAnsi="Times New Roman" w:eastAsia="方正仿宋_GBK" w:cs="Times New Roman"/>
                <w:i w:val="0"/>
                <w:iCs w:val="0"/>
                <w:color w:val="auto"/>
                <w:kern w:val="0"/>
                <w:sz w:val="21"/>
                <w:szCs w:val="21"/>
                <w:highlight w:val="none"/>
                <w:u w:val="none"/>
                <w:lang w:val="en-US" w:eastAsia="zh-CN" w:bidi="ar"/>
              </w:rPr>
            </w:pPr>
            <w:r>
              <w:rPr>
                <w:rFonts w:hint="default" w:ascii="Times New Roman" w:hAnsi="Times New Roman" w:eastAsia="方正仿宋_GBK" w:cs="Times New Roman"/>
                <w:i w:val="0"/>
                <w:iCs w:val="0"/>
                <w:color w:val="auto"/>
                <w:kern w:val="0"/>
                <w:sz w:val="21"/>
                <w:szCs w:val="21"/>
                <w:highlight w:val="none"/>
                <w:u w:val="none"/>
                <w:lang w:val="en-US" w:eastAsia="zh-CN" w:bidi="ar"/>
              </w:rPr>
              <w:t>40</w:t>
            </w:r>
            <w:r>
              <w:rPr>
                <w:rFonts w:hint="eastAsia" w:ascii="Times New Roman" w:hAnsi="Times New Roman" w:eastAsia="方正仿宋_GBK" w:cs="Times New Roman"/>
                <w:i w:val="0"/>
                <w:iCs w:val="0"/>
                <w:color w:val="auto"/>
                <w:kern w:val="0"/>
                <w:sz w:val="21"/>
                <w:szCs w:val="21"/>
                <w:highlight w:val="none"/>
                <w:u w:val="none"/>
                <w:lang w:val="en-US" w:eastAsia="zh-CN" w:bidi="ar"/>
              </w:rPr>
              <w:t>周岁及以下</w:t>
            </w:r>
          </w:p>
          <w:p w14:paraId="3AFB37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center"/>
              <w:textAlignment w:val="center"/>
              <w:rPr>
                <w:rFonts w:hint="eastAsia" w:cs="Times New Roman"/>
                <w:i w:val="0"/>
                <w:iCs w:val="0"/>
                <w:color w:val="auto"/>
                <w:kern w:val="0"/>
                <w:sz w:val="21"/>
                <w:szCs w:val="21"/>
                <w:highlight w:val="none"/>
                <w:u w:val="none"/>
                <w:lang w:val="en-US" w:eastAsia="zh-CN" w:bidi="ar"/>
              </w:rPr>
            </w:pPr>
          </w:p>
        </w:tc>
        <w:tc>
          <w:tcPr>
            <w:tcW w:w="2938" w:type="dxa"/>
            <w:tcBorders>
              <w:top w:val="single" w:color="000000" w:sz="4" w:space="0"/>
              <w:left w:val="single" w:color="000000" w:sz="4" w:space="0"/>
              <w:bottom w:val="single" w:color="000000" w:sz="4" w:space="0"/>
              <w:right w:val="single" w:color="000000" w:sz="4" w:space="0"/>
            </w:tcBorders>
            <w:noWrap w:val="0"/>
            <w:vAlign w:val="center"/>
          </w:tcPr>
          <w:p w14:paraId="20C6D2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Times New Roman" w:hAnsi="Times New Roman" w:eastAsia="方正仿宋_GBK"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需</w:t>
            </w:r>
            <w:r>
              <w:rPr>
                <w:rFonts w:hint="eastAsia" w:ascii="Times New Roman" w:hAnsi="Times New Roman" w:eastAsia="方正仿宋_GBK" w:cs="Times New Roman"/>
                <w:i w:val="0"/>
                <w:iCs w:val="0"/>
                <w:color w:val="auto"/>
                <w:kern w:val="0"/>
                <w:sz w:val="21"/>
                <w:szCs w:val="21"/>
                <w:highlight w:val="none"/>
                <w:u w:val="none"/>
                <w:lang w:val="en-US" w:eastAsia="zh-CN" w:bidi="ar"/>
              </w:rPr>
              <w:t>满足以下条件之一：</w:t>
            </w:r>
          </w:p>
          <w:p w14:paraId="01AEE6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Times New Roman" w:hAnsi="Times New Roman" w:eastAsia="方正仿宋_GBK" w:cs="Times New Roman"/>
                <w:i w:val="0"/>
                <w:iCs w:val="0"/>
                <w:color w:val="auto"/>
                <w:kern w:val="0"/>
                <w:sz w:val="21"/>
                <w:szCs w:val="21"/>
                <w:highlight w:val="none"/>
                <w:u w:val="none"/>
                <w:lang w:val="en-US" w:eastAsia="zh-CN" w:bidi="ar"/>
              </w:rPr>
            </w:pPr>
            <w:r>
              <w:rPr>
                <w:rFonts w:hint="eastAsia" w:ascii="Times New Roman" w:hAnsi="Times New Roman" w:eastAsia="方正仿宋_GBK" w:cs="Times New Roman"/>
                <w:i w:val="0"/>
                <w:iCs w:val="0"/>
                <w:color w:val="auto"/>
                <w:kern w:val="0"/>
                <w:sz w:val="21"/>
                <w:szCs w:val="21"/>
                <w:highlight w:val="none"/>
                <w:u w:val="none"/>
                <w:lang w:val="en-US" w:eastAsia="zh-CN" w:bidi="ar"/>
              </w:rPr>
              <w:t>（1）取得普通高等教育研究生学历并取得硕士及以上相应学位，且所学专业与聘任岗位密切相关；</w:t>
            </w:r>
          </w:p>
          <w:p w14:paraId="3EEF7C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ascii="Times New Roman" w:hAnsi="Times New Roman" w:eastAsia="方正仿宋_GBK" w:cs="Times New Roman"/>
                <w:i w:val="0"/>
                <w:iCs w:val="0"/>
                <w:color w:val="auto"/>
                <w:kern w:val="0"/>
                <w:sz w:val="21"/>
                <w:szCs w:val="21"/>
                <w:highlight w:val="none"/>
                <w:u w:val="none"/>
                <w:lang w:val="en-US" w:eastAsia="zh-CN" w:bidi="ar"/>
              </w:rPr>
            </w:pPr>
            <w:r>
              <w:rPr>
                <w:rFonts w:hint="eastAsia" w:ascii="Times New Roman" w:hAnsi="Times New Roman" w:eastAsia="方正仿宋_GBK" w:cs="Times New Roman"/>
                <w:i w:val="0"/>
                <w:iCs w:val="0"/>
                <w:color w:val="auto"/>
                <w:kern w:val="0"/>
                <w:sz w:val="21"/>
                <w:szCs w:val="21"/>
                <w:highlight w:val="none"/>
                <w:u w:val="none"/>
                <w:lang w:val="en-US" w:eastAsia="zh-CN" w:bidi="ar"/>
              </w:rPr>
              <w:t>（2）毕业于“双一流”院校，取得普通高等教育本科及以上学历并取得学士及以上相应学位，且所学专业与聘任岗位密切相关；或毕业于QS世界大学排名前</w:t>
            </w:r>
            <w:r>
              <w:rPr>
                <w:rFonts w:hint="eastAsia" w:cs="Times New Roman"/>
                <w:i w:val="0"/>
                <w:iCs w:val="0"/>
                <w:color w:val="auto"/>
                <w:kern w:val="0"/>
                <w:sz w:val="21"/>
                <w:szCs w:val="21"/>
                <w:highlight w:val="none"/>
                <w:u w:val="none"/>
                <w:lang w:val="en-US" w:eastAsia="zh-CN" w:bidi="ar"/>
              </w:rPr>
              <w:t>2</w:t>
            </w:r>
            <w:r>
              <w:rPr>
                <w:rFonts w:hint="eastAsia" w:ascii="Times New Roman" w:hAnsi="Times New Roman" w:eastAsia="方正仿宋_GBK" w:cs="Times New Roman"/>
                <w:i w:val="0"/>
                <w:iCs w:val="0"/>
                <w:color w:val="auto"/>
                <w:kern w:val="0"/>
                <w:sz w:val="21"/>
                <w:szCs w:val="21"/>
                <w:highlight w:val="none"/>
                <w:u w:val="none"/>
                <w:lang w:val="en-US" w:eastAsia="zh-CN" w:bidi="ar"/>
              </w:rPr>
              <w:t>00的国（境）外院校，取得相应学历学位，且所学专业与聘任岗位密切相关；</w:t>
            </w:r>
          </w:p>
          <w:p w14:paraId="45E44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left"/>
              <w:textAlignment w:val="center"/>
              <w:rPr>
                <w:rFonts w:hint="eastAsia" w:ascii="Times New Roman" w:hAnsi="Times New Roman" w:eastAsia="方正仿宋_GBK" w:cs="Times New Roman"/>
                <w:i w:val="0"/>
                <w:iCs w:val="0"/>
                <w:color w:val="auto"/>
                <w:kern w:val="0"/>
                <w:sz w:val="21"/>
                <w:szCs w:val="21"/>
                <w:highlight w:val="none"/>
                <w:u w:val="none"/>
                <w:lang w:val="en-US" w:eastAsia="zh" w:bidi="ar"/>
              </w:rPr>
            </w:pPr>
            <w:r>
              <w:rPr>
                <w:rFonts w:hint="eastAsia" w:ascii="Times New Roman" w:hAnsi="Times New Roman" w:eastAsia="方正仿宋_GBK" w:cs="Times New Roman"/>
                <w:i w:val="0"/>
                <w:iCs w:val="0"/>
                <w:color w:val="auto"/>
                <w:kern w:val="0"/>
                <w:sz w:val="21"/>
                <w:szCs w:val="21"/>
                <w:highlight w:val="none"/>
                <w:u w:val="none"/>
                <w:lang w:val="en-US" w:eastAsia="zh-CN" w:bidi="ar"/>
              </w:rPr>
              <w:t>（3）取得普通高等教育本科及以上学历并取得学士及以上相应学位，同时具备与聘任岗位密切相关的副高级及以上专业技术职称或岗位必需的特定职业资格证书。</w:t>
            </w:r>
          </w:p>
        </w:tc>
        <w:tc>
          <w:tcPr>
            <w:tcW w:w="2764" w:type="dxa"/>
            <w:tcBorders>
              <w:top w:val="single" w:color="000000" w:sz="4" w:space="0"/>
              <w:left w:val="single" w:color="000000" w:sz="4" w:space="0"/>
              <w:bottom w:val="single" w:color="000000" w:sz="4" w:space="0"/>
              <w:right w:val="single" w:color="000000" w:sz="4" w:space="0"/>
            </w:tcBorders>
            <w:noWrap w:val="0"/>
            <w:vAlign w:val="center"/>
          </w:tcPr>
          <w:p w14:paraId="5D33D4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cs="Times New Roman"/>
                <w:b w:val="0"/>
                <w:bCs w:val="0"/>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本科专业：</w:t>
            </w:r>
            <w:r>
              <w:rPr>
                <w:rFonts w:hint="eastAsia" w:cs="Times New Roman"/>
                <w:b w:val="0"/>
                <w:bCs w:val="0"/>
                <w:i w:val="0"/>
                <w:iCs w:val="0"/>
                <w:color w:val="auto"/>
                <w:kern w:val="0"/>
                <w:sz w:val="21"/>
                <w:szCs w:val="21"/>
                <w:highlight w:val="none"/>
                <w:u w:val="none"/>
                <w:lang w:val="en-US" w:eastAsia="zh-CN" w:bidi="ar"/>
              </w:rPr>
              <w:t>电子信息类、自动化类、计算机类、仪器类、机械类、材料类。</w:t>
            </w:r>
          </w:p>
          <w:p w14:paraId="76608C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cs="Times New Roman"/>
                <w:b w:val="0"/>
                <w:bCs w:val="0"/>
                <w:i w:val="0"/>
                <w:iCs w:val="0"/>
                <w:color w:val="auto"/>
                <w:kern w:val="0"/>
                <w:sz w:val="21"/>
                <w:szCs w:val="21"/>
                <w:highlight w:val="none"/>
                <w:u w:val="none"/>
                <w:lang w:val="en-US" w:eastAsia="zh-CN" w:bidi="ar"/>
              </w:rPr>
            </w:pPr>
            <w:r>
              <w:rPr>
                <w:rFonts w:hint="eastAsia" w:cs="Times New Roman"/>
                <w:b/>
                <w:bCs/>
                <w:i w:val="0"/>
                <w:iCs w:val="0"/>
                <w:color w:val="auto"/>
                <w:kern w:val="0"/>
                <w:sz w:val="21"/>
                <w:szCs w:val="21"/>
                <w:highlight w:val="none"/>
                <w:u w:val="none"/>
                <w:lang w:val="en-US" w:eastAsia="zh-CN" w:bidi="ar"/>
              </w:rPr>
              <w:t>研究生专业：</w:t>
            </w:r>
            <w:r>
              <w:rPr>
                <w:rFonts w:hint="eastAsia" w:cs="Times New Roman"/>
                <w:b w:val="0"/>
                <w:bCs w:val="0"/>
                <w:i w:val="0"/>
                <w:iCs w:val="0"/>
                <w:color w:val="auto"/>
                <w:kern w:val="0"/>
                <w:sz w:val="21"/>
                <w:szCs w:val="21"/>
                <w:highlight w:val="none"/>
                <w:u w:val="none"/>
                <w:lang w:val="en-US" w:eastAsia="zh-CN" w:bidi="ar"/>
              </w:rPr>
              <w:t>电子信息类、控制科学与工程类、计算机科学与技术类、仪器科学与技术类、机械工程类、材料科学与工程类。</w:t>
            </w:r>
          </w:p>
          <w:p w14:paraId="1CF7B529">
            <w:pPr>
              <w:keepNext w:val="0"/>
              <w:keepLines w:val="0"/>
              <w:suppressLineNumbers w:val="0"/>
              <w:spacing w:before="0" w:beforeAutospacing="0" w:after="0" w:afterAutospacing="0"/>
              <w:ind w:left="0" w:leftChars="0" w:right="0" w:firstLine="0" w:firstLineChars="0"/>
              <w:rPr>
                <w:rFonts w:hint="default"/>
                <w:sz w:val="21"/>
                <w:szCs w:val="21"/>
                <w:highlight w:val="none"/>
                <w:lang w:val="en-US" w:eastAsia="zh-CN"/>
              </w:rPr>
            </w:pPr>
          </w:p>
        </w:tc>
        <w:tc>
          <w:tcPr>
            <w:tcW w:w="2959" w:type="dxa"/>
            <w:tcBorders>
              <w:top w:val="single" w:color="000000" w:sz="4" w:space="0"/>
              <w:left w:val="single" w:color="000000" w:sz="4" w:space="0"/>
              <w:bottom w:val="single" w:color="000000" w:sz="4" w:space="0"/>
              <w:right w:val="single" w:color="000000" w:sz="4" w:space="0"/>
            </w:tcBorders>
            <w:noWrap w:val="0"/>
            <w:vAlign w:val="center"/>
          </w:tcPr>
          <w:p w14:paraId="514F5CAE">
            <w:pPr>
              <w:keepNext w:val="0"/>
              <w:keepLines w:val="0"/>
              <w:widowControl/>
              <w:suppressLineNumbers w:val="0"/>
              <w:tabs>
                <w:tab w:val="left" w:pos="312"/>
              </w:tabs>
              <w:autoSpaceDE w:val="0"/>
              <w:autoSpaceDN/>
              <w:spacing w:before="0" w:beforeAutospacing="0" w:after="0" w:afterAutospacing="0" w:line="300" w:lineRule="exact"/>
              <w:ind w:left="0" w:leftChars="0" w:right="0" w:firstLine="0" w:firstLineChars="0"/>
              <w:jc w:val="left"/>
              <w:textAlignment w:val="center"/>
              <w:rPr>
                <w:rFonts w:hint="default" w:ascii="Times New Roman" w:hAnsi="Times New Roman" w:eastAsia="方正仿宋_GB2312" w:cs="Times New Roman"/>
                <w:b w:val="0"/>
                <w:i w:val="0"/>
                <w:color w:val="000000"/>
                <w:kern w:val="2"/>
                <w:sz w:val="21"/>
                <w:szCs w:val="21"/>
              </w:rPr>
            </w:pPr>
            <w:r>
              <w:rPr>
                <w:rFonts w:hint="default" w:ascii="Times New Roman" w:hAnsi="Times New Roman" w:eastAsia="方正仿宋_GB2312" w:cs="Times New Roman"/>
                <w:b w:val="0"/>
                <w:i w:val="0"/>
                <w:color w:val="000000"/>
                <w:kern w:val="2"/>
                <w:sz w:val="21"/>
                <w:szCs w:val="21"/>
                <w:lang w:val="en-US" w:eastAsia="zh-CN" w:bidi="ar"/>
              </w:rPr>
              <w:t>1.</w:t>
            </w:r>
            <w:r>
              <w:rPr>
                <w:rFonts w:hint="default" w:ascii="方正仿宋_GB2312" w:hAnsi="方正仿宋_GB2312" w:eastAsia="方正仿宋_GB2312" w:cs="方正仿宋_GB2312"/>
                <w:b w:val="0"/>
                <w:i w:val="0"/>
                <w:color w:val="000000"/>
                <w:kern w:val="2"/>
                <w:sz w:val="21"/>
                <w:szCs w:val="21"/>
                <w:lang w:val="en-US" w:eastAsia="zh-CN" w:bidi="ar"/>
              </w:rPr>
              <w:t>负责中试平台的日常运营管理，统筹协调中试项目从导入到产出的全流程，保障中试服务高效运转。</w:t>
            </w:r>
          </w:p>
          <w:p w14:paraId="06674FE0">
            <w:pPr>
              <w:keepNext w:val="0"/>
              <w:keepLines w:val="0"/>
              <w:widowControl/>
              <w:suppressLineNumbers w:val="0"/>
              <w:tabs>
                <w:tab w:val="left" w:pos="312"/>
              </w:tabs>
              <w:autoSpaceDE w:val="0"/>
              <w:autoSpaceDN/>
              <w:spacing w:before="0" w:beforeAutospacing="0" w:after="0" w:afterAutospacing="0" w:line="300" w:lineRule="exact"/>
              <w:ind w:left="0" w:leftChars="0" w:right="0" w:firstLine="0" w:firstLineChars="0"/>
              <w:jc w:val="left"/>
              <w:textAlignment w:val="center"/>
              <w:rPr>
                <w:rFonts w:hint="default" w:ascii="Times New Roman" w:hAnsi="Times New Roman" w:eastAsia="方正仿宋_GB2312" w:cs="Times New Roman"/>
                <w:b w:val="0"/>
                <w:i w:val="0"/>
                <w:color w:val="000000"/>
                <w:kern w:val="2"/>
                <w:sz w:val="21"/>
                <w:szCs w:val="21"/>
              </w:rPr>
            </w:pPr>
            <w:r>
              <w:rPr>
                <w:rFonts w:hint="default" w:ascii="Times New Roman" w:hAnsi="Times New Roman" w:eastAsia="方正仿宋_GB2312" w:cs="Times New Roman"/>
                <w:b w:val="0"/>
                <w:i w:val="0"/>
                <w:color w:val="000000"/>
                <w:kern w:val="2"/>
                <w:sz w:val="21"/>
                <w:szCs w:val="21"/>
                <w:lang w:val="en-US" w:eastAsia="zh-CN" w:bidi="ar"/>
              </w:rPr>
              <w:t>2.</w:t>
            </w:r>
            <w:r>
              <w:rPr>
                <w:rFonts w:hint="default" w:ascii="方正仿宋_GB2312" w:hAnsi="方正仿宋_GB2312" w:eastAsia="方正仿宋_GB2312" w:cs="方正仿宋_GB2312"/>
                <w:b w:val="0"/>
                <w:i w:val="0"/>
                <w:color w:val="000000"/>
                <w:kern w:val="2"/>
                <w:sz w:val="21"/>
                <w:szCs w:val="21"/>
                <w:lang w:val="en-US" w:eastAsia="zh-CN" w:bidi="ar"/>
              </w:rPr>
              <w:t>负责中试检测检验工作的组织实施，制定检测方案与标准作业程序，确保检测数据准确可靠，出具规范的检测报告。</w:t>
            </w:r>
          </w:p>
          <w:p w14:paraId="03B63971">
            <w:pPr>
              <w:keepNext w:val="0"/>
              <w:keepLines w:val="0"/>
              <w:widowControl/>
              <w:suppressLineNumbers w:val="0"/>
              <w:tabs>
                <w:tab w:val="left" w:pos="312"/>
              </w:tabs>
              <w:autoSpaceDE w:val="0"/>
              <w:autoSpaceDN/>
              <w:spacing w:before="0" w:beforeAutospacing="0" w:after="0" w:afterAutospacing="0" w:line="300" w:lineRule="exact"/>
              <w:ind w:left="0" w:leftChars="0" w:right="0" w:firstLine="0" w:firstLineChars="0"/>
              <w:jc w:val="left"/>
              <w:textAlignment w:val="center"/>
              <w:rPr>
                <w:rFonts w:hint="default" w:ascii="Times New Roman" w:hAnsi="Times New Roman" w:eastAsia="方正仿宋_GB2312" w:cs="Times New Roman"/>
                <w:b w:val="0"/>
                <w:i w:val="0"/>
                <w:color w:val="000000"/>
                <w:kern w:val="2"/>
                <w:sz w:val="21"/>
                <w:szCs w:val="21"/>
              </w:rPr>
            </w:pPr>
            <w:r>
              <w:rPr>
                <w:rFonts w:hint="default" w:ascii="Times New Roman" w:hAnsi="Times New Roman" w:eastAsia="方正仿宋_GB2312" w:cs="Times New Roman"/>
                <w:b w:val="0"/>
                <w:i w:val="0"/>
                <w:color w:val="000000"/>
                <w:kern w:val="2"/>
                <w:sz w:val="21"/>
                <w:szCs w:val="21"/>
                <w:lang w:val="en-US" w:eastAsia="zh-CN" w:bidi="ar"/>
              </w:rPr>
              <w:t>3.</w:t>
            </w:r>
            <w:r>
              <w:rPr>
                <w:rFonts w:hint="default" w:ascii="方正仿宋_GB2312" w:hAnsi="方正仿宋_GB2312" w:eastAsia="方正仿宋_GB2312" w:cs="方正仿宋_GB2312"/>
                <w:b w:val="0"/>
                <w:i w:val="0"/>
                <w:color w:val="000000"/>
                <w:kern w:val="2"/>
                <w:sz w:val="21"/>
                <w:szCs w:val="21"/>
                <w:lang w:val="en-US" w:eastAsia="zh-CN" w:bidi="ar"/>
              </w:rPr>
              <w:t>负责</w:t>
            </w:r>
            <w:r>
              <w:rPr>
                <w:rFonts w:hint="eastAsia" w:ascii="Times New Roman" w:hAnsi="Times New Roman" w:eastAsia="方正仿宋_GB2312" w:cs="Times New Roman"/>
                <w:b w:val="0"/>
                <w:i w:val="0"/>
                <w:color w:val="000000"/>
                <w:kern w:val="2"/>
                <w:sz w:val="21"/>
                <w:szCs w:val="21"/>
                <w:lang w:val="en-US" w:eastAsia="zh" w:bidi="ar"/>
              </w:rPr>
              <w:t>ISO</w:t>
            </w:r>
            <w:r>
              <w:rPr>
                <w:rFonts w:hint="eastAsia" w:eastAsia="方正仿宋_GB2312" w:cs="Times New Roman"/>
                <w:b w:val="0"/>
                <w:i w:val="0"/>
                <w:color w:val="000000"/>
                <w:kern w:val="2"/>
                <w:sz w:val="21"/>
                <w:szCs w:val="21"/>
                <w:lang w:val="en-US" w:eastAsia="zh" w:bidi="ar"/>
                <w:woUserID w:val="1"/>
              </w:rPr>
              <w:t>、</w:t>
            </w:r>
            <w:r>
              <w:rPr>
                <w:rFonts w:hint="default" w:ascii="Times New Roman" w:hAnsi="Times New Roman" w:eastAsia="方正仿宋_GB2312" w:cs="Times New Roman"/>
                <w:b w:val="0"/>
                <w:i w:val="0"/>
                <w:color w:val="000000"/>
                <w:kern w:val="2"/>
                <w:sz w:val="21"/>
                <w:szCs w:val="21"/>
                <w:lang w:val="en-US" w:eastAsia="zh-CN" w:bidi="ar"/>
              </w:rPr>
              <w:t>CMA</w:t>
            </w:r>
            <w:r>
              <w:rPr>
                <w:rFonts w:hint="default" w:ascii="方正仿宋_GB2312" w:hAnsi="方正仿宋_GB2312" w:eastAsia="方正仿宋_GB2312" w:cs="方正仿宋_GB2312"/>
                <w:b w:val="0"/>
                <w:i w:val="0"/>
                <w:color w:val="000000"/>
                <w:kern w:val="2"/>
                <w:sz w:val="21"/>
                <w:szCs w:val="21"/>
                <w:lang w:val="en-US" w:eastAsia="zh-CN" w:bidi="ar"/>
              </w:rPr>
              <w:t>（检验检测机构资质认定）、</w:t>
            </w:r>
            <w:r>
              <w:rPr>
                <w:rFonts w:hint="default" w:ascii="Times New Roman" w:hAnsi="Times New Roman" w:eastAsia="方正仿宋_GB2312" w:cs="Times New Roman"/>
                <w:b w:val="0"/>
                <w:i w:val="0"/>
                <w:color w:val="000000"/>
                <w:kern w:val="2"/>
                <w:sz w:val="21"/>
                <w:szCs w:val="21"/>
                <w:lang w:val="en-US" w:eastAsia="zh-CN" w:bidi="ar"/>
              </w:rPr>
              <w:t>CNAS</w:t>
            </w:r>
            <w:r>
              <w:rPr>
                <w:rFonts w:hint="default" w:ascii="方正仿宋_GB2312" w:hAnsi="方正仿宋_GB2312" w:eastAsia="方正仿宋_GB2312" w:cs="方正仿宋_GB2312"/>
                <w:b w:val="0"/>
                <w:i w:val="0"/>
                <w:color w:val="000000"/>
                <w:kern w:val="2"/>
                <w:sz w:val="21"/>
                <w:szCs w:val="21"/>
                <w:lang w:val="en-US" w:eastAsia="zh-CN" w:bidi="ar"/>
              </w:rPr>
              <w:t>（中国合格评定国家认可委员会）管理体系的申报、建设、运行与持续改进，组织开展内审、管理评审及外部审核，确保体系合规有效。</w:t>
            </w:r>
          </w:p>
          <w:p w14:paraId="6A434AE5">
            <w:pPr>
              <w:keepNext w:val="0"/>
              <w:keepLines w:val="0"/>
              <w:widowControl/>
              <w:suppressLineNumbers w:val="0"/>
              <w:tabs>
                <w:tab w:val="left" w:pos="312"/>
              </w:tabs>
              <w:autoSpaceDE w:val="0"/>
              <w:autoSpaceDN/>
              <w:spacing w:before="0" w:beforeAutospacing="0" w:after="0" w:afterAutospacing="0" w:line="300" w:lineRule="exact"/>
              <w:ind w:left="0" w:leftChars="0" w:right="0" w:firstLine="0" w:firstLineChars="0"/>
              <w:jc w:val="left"/>
              <w:textAlignment w:val="center"/>
              <w:rPr>
                <w:rFonts w:hint="default" w:ascii="Times New Roman" w:hAnsi="Times New Roman" w:eastAsia="方正仿宋_GB2312" w:cs="Times New Roman"/>
                <w:b w:val="0"/>
                <w:i w:val="0"/>
                <w:color w:val="000000"/>
                <w:kern w:val="2"/>
                <w:sz w:val="21"/>
                <w:szCs w:val="21"/>
              </w:rPr>
            </w:pPr>
            <w:r>
              <w:rPr>
                <w:rFonts w:hint="default" w:ascii="Times New Roman" w:hAnsi="Times New Roman" w:eastAsia="方正仿宋_GB2312" w:cs="Times New Roman"/>
                <w:b w:val="0"/>
                <w:i w:val="0"/>
                <w:color w:val="000000"/>
                <w:kern w:val="2"/>
                <w:sz w:val="21"/>
                <w:szCs w:val="21"/>
                <w:lang w:val="en-US" w:eastAsia="zh-CN" w:bidi="ar"/>
              </w:rPr>
              <w:t>4.</w:t>
            </w:r>
            <w:r>
              <w:rPr>
                <w:rFonts w:hint="default" w:ascii="方正仿宋_GB2312" w:hAnsi="方正仿宋_GB2312" w:eastAsia="方正仿宋_GB2312" w:cs="方正仿宋_GB2312"/>
                <w:b w:val="0"/>
                <w:i w:val="0"/>
                <w:color w:val="000000"/>
                <w:kern w:val="2"/>
                <w:sz w:val="21"/>
                <w:szCs w:val="21"/>
                <w:lang w:val="en-US" w:eastAsia="zh-CN" w:bidi="ar"/>
              </w:rPr>
              <w:t>负责中试设备与仪器的选型、验收、维护及校准管理，建立设备台账与计量溯源体系，保障设备完好率与检测精度。</w:t>
            </w:r>
          </w:p>
          <w:p w14:paraId="72DDF635">
            <w:pPr>
              <w:keepNext w:val="0"/>
              <w:keepLines w:val="0"/>
              <w:widowControl w:val="0"/>
              <w:suppressLineNumbers w:val="0"/>
              <w:spacing w:before="0" w:beforeAutospacing="0" w:after="0" w:afterAutospacing="0"/>
              <w:ind w:left="0" w:right="0"/>
              <w:jc w:val="both"/>
              <w:rPr>
                <w:rFonts w:hint="default"/>
                <w:szCs w:val="20"/>
              </w:rPr>
            </w:pPr>
            <w:r>
              <w:rPr>
                <w:rFonts w:hint="default" w:ascii="Times New Roman" w:hAnsi="Times New Roman" w:eastAsia="方正仿宋_GB2312" w:cs="Times New Roman"/>
                <w:b w:val="0"/>
                <w:i w:val="0"/>
                <w:color w:val="000000"/>
                <w:kern w:val="2"/>
                <w:sz w:val="21"/>
                <w:szCs w:val="21"/>
                <w:lang w:val="en-US" w:eastAsia="zh-CN" w:bidi="ar"/>
              </w:rPr>
              <w:t>5.</w:t>
            </w:r>
            <w:r>
              <w:rPr>
                <w:rFonts w:hint="default" w:ascii="方正仿宋_GB2312" w:hAnsi="方正仿宋_GB2312" w:eastAsia="方正仿宋_GB2312" w:cs="方正仿宋_GB2312"/>
                <w:b w:val="0"/>
                <w:i w:val="0"/>
                <w:color w:val="000000"/>
                <w:kern w:val="2"/>
                <w:sz w:val="21"/>
                <w:szCs w:val="21"/>
                <w:lang w:val="en-US" w:eastAsia="zh-CN" w:bidi="ar"/>
              </w:rPr>
              <w:t>负责对接客户检测需求，提供专业技术咨询与解决方案，推动检测检验服务市场化拓展。</w:t>
            </w:r>
          </w:p>
          <w:p w14:paraId="3F5DC929">
            <w:pPr>
              <w:keepNext w:val="0"/>
              <w:keepLines w:val="0"/>
              <w:pageBreakBefore w:val="0"/>
              <w:widowControl/>
              <w:suppressLineNumbers w:val="0"/>
              <w:tabs>
                <w:tab w:val="left" w:pos="312"/>
              </w:tabs>
              <w:kinsoku/>
              <w:wordWrap/>
              <w:overflowPunct/>
              <w:topLinePunct w:val="0"/>
              <w:autoSpaceDE/>
              <w:autoSpaceDN/>
              <w:bidi w:val="0"/>
              <w:adjustRightInd/>
              <w:snapToGrid/>
              <w:spacing w:before="0" w:beforeAutospacing="0" w:after="0" w:afterAutospacing="0" w:line="300" w:lineRule="exact"/>
              <w:ind w:left="0" w:leftChars="0" w:right="0" w:firstLine="0" w:firstLineChars="0"/>
              <w:jc w:val="left"/>
              <w:textAlignment w:val="center"/>
              <w:rPr>
                <w:rFonts w:hint="eastAsia" w:ascii="Times New Roman" w:hAnsi="Times New Roman" w:eastAsia="方正仿宋_GB2312" w:cs="Times New Roman"/>
                <w:b w:val="0"/>
                <w:i w:val="0"/>
                <w:color w:val="000000"/>
                <w:sz w:val="21"/>
                <w:szCs w:val="21"/>
                <w:highlight w:val="none"/>
                <w:vertAlign w:val="baseline"/>
                <w:lang w:val="en-US" w:eastAsia="zh-CN"/>
              </w:rPr>
            </w:pPr>
          </w:p>
        </w:tc>
        <w:tc>
          <w:tcPr>
            <w:tcW w:w="2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02C765">
            <w:pPr>
              <w:keepNext w:val="0"/>
              <w:keepLines w:val="0"/>
              <w:widowControl/>
              <w:suppressLineNumbers w:val="0"/>
              <w:autoSpaceDE w:val="0"/>
              <w:autoSpaceDN/>
              <w:spacing w:before="0" w:beforeAutospacing="0" w:after="0" w:afterAutospacing="0" w:line="300" w:lineRule="exact"/>
              <w:ind w:left="0" w:leftChars="0" w:right="0" w:firstLine="0" w:firstLineChars="0"/>
              <w:jc w:val="left"/>
              <w:textAlignment w:val="center"/>
              <w:rPr>
                <w:rFonts w:hint="eastAsia" w:ascii="Times New Roman" w:hAnsi="Times New Roman" w:eastAsia="方正仿宋_GBK" w:cs="Times New Roman"/>
                <w:i w:val="0"/>
                <w:iCs w:val="0"/>
                <w:kern w:val="0"/>
                <w:sz w:val="21"/>
                <w:szCs w:val="21"/>
              </w:rPr>
            </w:pPr>
            <w:r>
              <w:rPr>
                <w:rFonts w:hint="default" w:ascii="Times New Roman" w:hAnsi="Times New Roman" w:eastAsia="方正仿宋_GBK" w:cs="Times New Roman"/>
                <w:i w:val="0"/>
                <w:iCs w:val="0"/>
                <w:kern w:val="0"/>
                <w:sz w:val="21"/>
                <w:szCs w:val="21"/>
                <w:lang w:val="en-US" w:eastAsia="zh-CN" w:bidi="ar"/>
              </w:rPr>
              <w:t>1.</w:t>
            </w:r>
            <w:r>
              <w:rPr>
                <w:rFonts w:hint="eastAsia" w:ascii="方正仿宋_GBK" w:hAnsi="方正仿宋_GBK" w:eastAsia="方正仿宋_GBK" w:cs="方正仿宋_GBK"/>
                <w:i w:val="0"/>
                <w:iCs w:val="0"/>
                <w:kern w:val="0"/>
                <w:sz w:val="21"/>
                <w:szCs w:val="21"/>
                <w:lang w:val="en-US" w:eastAsia="zh-CN" w:bidi="ar"/>
              </w:rPr>
              <w:t>具有</w:t>
            </w:r>
            <w:r>
              <w:rPr>
                <w:rFonts w:hint="default" w:ascii="Times New Roman" w:hAnsi="Times New Roman" w:eastAsia="方正仿宋_GBK" w:cs="Times New Roman"/>
                <w:i w:val="0"/>
                <w:iCs w:val="0"/>
                <w:kern w:val="0"/>
                <w:sz w:val="21"/>
                <w:szCs w:val="21"/>
                <w:lang w:val="en-US" w:eastAsia="zh-CN" w:bidi="ar"/>
              </w:rPr>
              <w:t>3</w:t>
            </w:r>
            <w:r>
              <w:rPr>
                <w:rFonts w:hint="eastAsia" w:ascii="方正仿宋_GBK" w:hAnsi="方正仿宋_GBK" w:eastAsia="方正仿宋_GBK" w:cs="方正仿宋_GBK"/>
                <w:i w:val="0"/>
                <w:iCs w:val="0"/>
                <w:kern w:val="0"/>
                <w:sz w:val="21"/>
                <w:szCs w:val="21"/>
                <w:lang w:val="en-US" w:eastAsia="zh-CN" w:bidi="ar"/>
              </w:rPr>
              <w:t>年以上电子信息、智能装备、新材料等领域检测检验相关工作经验，熟悉相关领域产品检测标准与测试方法。</w:t>
            </w:r>
          </w:p>
          <w:p w14:paraId="1FC6283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cs="Times New Roman"/>
                <w:i w:val="0"/>
                <w:iCs w:val="0"/>
                <w:color w:val="auto"/>
                <w:kern w:val="0"/>
                <w:sz w:val="21"/>
                <w:szCs w:val="21"/>
                <w:highlight w:val="none"/>
                <w:u w:val="none"/>
                <w:lang w:val="en-US" w:eastAsia="zh-CN" w:bidi="ar"/>
              </w:rPr>
            </w:pPr>
            <w:r>
              <w:rPr>
                <w:rFonts w:hint="default" w:ascii="Times New Roman" w:hAnsi="Times New Roman" w:eastAsia="方正仿宋_GBK" w:cs="Times New Roman"/>
                <w:i w:val="0"/>
                <w:iCs w:val="0"/>
                <w:kern w:val="0"/>
                <w:sz w:val="21"/>
                <w:szCs w:val="21"/>
                <w:lang w:val="en-US" w:eastAsia="zh-CN" w:bidi="ar"/>
              </w:rPr>
              <w:t>2.</w:t>
            </w:r>
            <w:r>
              <w:rPr>
                <w:rFonts w:hint="eastAsia" w:ascii="方正仿宋_GBK" w:hAnsi="方正仿宋_GBK" w:eastAsia="方正仿宋_GBK" w:cs="方正仿宋_GBK"/>
                <w:i w:val="0"/>
                <w:iCs w:val="0"/>
                <w:kern w:val="0"/>
                <w:sz w:val="21"/>
                <w:szCs w:val="21"/>
                <w:lang w:val="en-US" w:eastAsia="zh-CN" w:bidi="ar"/>
              </w:rPr>
              <w:t>熟悉</w:t>
            </w:r>
            <w:r>
              <w:rPr>
                <w:rFonts w:hint="eastAsia" w:ascii="Times New Roman" w:hAnsi="Times New Roman" w:eastAsia="方正仿宋_GB2312" w:cs="Times New Roman"/>
                <w:b w:val="0"/>
                <w:i w:val="0"/>
                <w:color w:val="000000"/>
                <w:kern w:val="2"/>
                <w:sz w:val="21"/>
                <w:szCs w:val="21"/>
                <w:lang w:val="en-US" w:eastAsia="zh" w:bidi="ar"/>
                <w:woUserID w:val="1"/>
              </w:rPr>
              <w:t>ISO</w:t>
            </w:r>
            <w:r>
              <w:rPr>
                <w:rFonts w:hint="eastAsia" w:eastAsia="方正仿宋_GB2312" w:cs="Times New Roman"/>
                <w:b w:val="0"/>
                <w:i w:val="0"/>
                <w:color w:val="000000"/>
                <w:kern w:val="2"/>
                <w:sz w:val="21"/>
                <w:szCs w:val="21"/>
                <w:lang w:val="en-US" w:eastAsia="zh" w:bidi="ar"/>
                <w:woUserID w:val="1"/>
              </w:rPr>
              <w:t>、</w:t>
            </w:r>
            <w:r>
              <w:rPr>
                <w:rFonts w:hint="default" w:ascii="Times New Roman" w:hAnsi="Times New Roman" w:eastAsia="方正仿宋_GBK" w:cs="Times New Roman"/>
                <w:i w:val="0"/>
                <w:iCs w:val="0"/>
                <w:kern w:val="0"/>
                <w:sz w:val="21"/>
                <w:szCs w:val="21"/>
                <w:lang w:val="en-US" w:eastAsia="zh-CN" w:bidi="ar"/>
              </w:rPr>
              <w:t>CMA</w:t>
            </w:r>
            <w:r>
              <w:rPr>
                <w:rFonts w:hint="eastAsia" w:ascii="方正仿宋_GBK" w:hAnsi="方正仿宋_GBK" w:eastAsia="方正仿宋_GBK" w:cs="方正仿宋_GBK"/>
                <w:i w:val="0"/>
                <w:iCs w:val="0"/>
                <w:kern w:val="0"/>
                <w:sz w:val="21"/>
                <w:szCs w:val="21"/>
                <w:lang w:val="en-US" w:eastAsia="zh-CN" w:bidi="ar"/>
              </w:rPr>
              <w:t>、</w:t>
            </w:r>
            <w:r>
              <w:rPr>
                <w:rFonts w:hint="default" w:ascii="Times New Roman" w:hAnsi="Times New Roman" w:eastAsia="方正仿宋_GBK" w:cs="Times New Roman"/>
                <w:i w:val="0"/>
                <w:iCs w:val="0"/>
                <w:kern w:val="0"/>
                <w:sz w:val="21"/>
                <w:szCs w:val="21"/>
                <w:lang w:val="en-US" w:eastAsia="zh-CN" w:bidi="ar"/>
              </w:rPr>
              <w:t>CNAS</w:t>
            </w:r>
            <w:r>
              <w:rPr>
                <w:rFonts w:hint="eastAsia" w:ascii="方正仿宋_GBK" w:hAnsi="方正仿宋_GBK" w:eastAsia="方正仿宋_GBK" w:cs="方正仿宋_GBK"/>
                <w:i w:val="0"/>
                <w:iCs w:val="0"/>
                <w:kern w:val="0"/>
                <w:sz w:val="21"/>
                <w:szCs w:val="21"/>
                <w:lang w:val="en-US" w:eastAsia="zh-CN" w:bidi="ar"/>
              </w:rPr>
              <w:t>管理体系，具备体系建立、运行及迎审经验，持有相关内审员、质量负责人等职业</w:t>
            </w:r>
            <w:r>
              <w:rPr>
                <w:rFonts w:hint="eastAsia" w:cs="Times New Roman"/>
                <w:i w:val="0"/>
                <w:iCs w:val="0"/>
                <w:color w:val="auto"/>
                <w:kern w:val="0"/>
                <w:sz w:val="21"/>
                <w:szCs w:val="21"/>
                <w:highlight w:val="none"/>
                <w:u w:val="none"/>
                <w:lang w:val="en-US" w:eastAsia="zh-CN" w:bidi="ar"/>
              </w:rPr>
              <w:t>资格证书者优先。</w:t>
            </w:r>
          </w:p>
          <w:p w14:paraId="0477EE3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cs="Times New Roman"/>
                <w:i w:val="0"/>
                <w:iCs w:val="0"/>
                <w:color w:val="auto"/>
                <w:kern w:val="0"/>
                <w:sz w:val="21"/>
                <w:szCs w:val="21"/>
                <w:highlight w:val="none"/>
                <w:u w:val="none"/>
                <w:lang w:val="en-US" w:eastAsia="zh-CN" w:bidi="ar"/>
              </w:rPr>
            </w:pPr>
            <w:r>
              <w:rPr>
                <w:rFonts w:hint="default" w:cs="Times New Roman"/>
                <w:i w:val="0"/>
                <w:iCs w:val="0"/>
                <w:color w:val="auto"/>
                <w:kern w:val="0"/>
                <w:sz w:val="21"/>
                <w:szCs w:val="21"/>
                <w:highlight w:val="none"/>
                <w:u w:val="none"/>
                <w:lang w:val="en-US" w:eastAsia="zh-CN" w:bidi="ar"/>
              </w:rPr>
              <w:t>3.</w:t>
            </w:r>
            <w:r>
              <w:rPr>
                <w:rFonts w:hint="eastAsia" w:cs="Times New Roman"/>
                <w:i w:val="0"/>
                <w:iCs w:val="0"/>
                <w:color w:val="auto"/>
                <w:kern w:val="0"/>
                <w:sz w:val="21"/>
                <w:szCs w:val="21"/>
                <w:highlight w:val="none"/>
                <w:u w:val="none"/>
                <w:lang w:val="en-US" w:eastAsia="zh-CN" w:bidi="ar"/>
              </w:rPr>
              <w:t>具备较强的组织协调能力、质量管理意识及团队管理能力，能够独立组织开展中试检测检验工作。</w:t>
            </w:r>
          </w:p>
          <w:p w14:paraId="4AE86E6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eastAsia" w:cs="Times New Roman"/>
                <w:i w:val="0"/>
                <w:iCs w:val="0"/>
                <w:color w:val="auto"/>
                <w:kern w:val="0"/>
                <w:sz w:val="21"/>
                <w:szCs w:val="21"/>
                <w:highlight w:val="none"/>
                <w:u w:val="none"/>
                <w:lang w:val="en-US" w:eastAsia="zh-CN" w:bidi="ar"/>
              </w:rPr>
            </w:pPr>
            <w:r>
              <w:rPr>
                <w:rFonts w:hint="default" w:cs="Times New Roman"/>
                <w:i w:val="0"/>
                <w:iCs w:val="0"/>
                <w:color w:val="auto"/>
                <w:kern w:val="0"/>
                <w:sz w:val="21"/>
                <w:szCs w:val="21"/>
                <w:highlight w:val="none"/>
                <w:u w:val="none"/>
                <w:lang w:val="en-US" w:eastAsia="zh-CN" w:bidi="ar"/>
              </w:rPr>
              <w:t>4.</w:t>
            </w:r>
            <w:r>
              <w:rPr>
                <w:rFonts w:hint="eastAsia" w:cs="Times New Roman"/>
                <w:i w:val="0"/>
                <w:iCs w:val="0"/>
                <w:color w:val="auto"/>
                <w:kern w:val="0"/>
                <w:sz w:val="21"/>
                <w:szCs w:val="21"/>
                <w:highlight w:val="none"/>
                <w:u w:val="none"/>
                <w:lang w:val="en-US" w:eastAsia="zh-CN" w:bidi="ar"/>
              </w:rPr>
              <w:t>工作严谨细致，责任心强，具备良好的沟通表达能力和客户服务意识。</w:t>
            </w:r>
          </w:p>
          <w:p w14:paraId="358190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firstLineChars="0"/>
              <w:jc w:val="left"/>
              <w:textAlignment w:val="center"/>
              <w:rPr>
                <w:rFonts w:hint="eastAsia" w:cs="Times New Roman"/>
                <w:i w:val="0"/>
                <w:iCs w:val="0"/>
                <w:color w:val="auto"/>
                <w:kern w:val="0"/>
                <w:sz w:val="21"/>
                <w:szCs w:val="21"/>
                <w:highlight w:val="none"/>
                <w:u w:val="none"/>
                <w:lang w:val="en-US" w:eastAsia="zh-CN" w:bidi="ar"/>
              </w:rPr>
            </w:pPr>
          </w:p>
        </w:tc>
      </w:tr>
    </w:tbl>
    <w:p w14:paraId="69A16543"/>
    <w:sectPr>
      <w:footerReference r:id="rId3" w:type="default"/>
      <w:pgSz w:w="16838" w:h="11906" w:orient="landscape"/>
      <w:pgMar w:top="1066" w:right="1157" w:bottom="1066" w:left="1157" w:header="851" w:footer="107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1" w:fontKey="{FF8B92FE-D09C-4D76-B42F-DE7D048E1EAC}"/>
  </w:font>
  <w:font w:name="方正黑体_GBK">
    <w:panose1 w:val="03000509000000000000"/>
    <w:charset w:val="86"/>
    <w:family w:val="auto"/>
    <w:pitch w:val="default"/>
    <w:sig w:usb0="00000001" w:usb1="080E0000" w:usb2="00000000" w:usb3="00000000" w:csb0="00040000" w:csb1="00000000"/>
    <w:embedRegular r:id="rId2" w:fontKey="{C0FE6F1E-193A-4875-9476-87967EC4E2CC}"/>
  </w:font>
  <w:font w:name="方正楷体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embedRegular r:id="rId3" w:fontKey="{5D1BEE5D-9E3C-411C-A5FB-E962379CC594}"/>
  </w:font>
  <w:font w:name="方正仿宋_GB2312">
    <w:panose1 w:val="02000000000000000000"/>
    <w:charset w:val="86"/>
    <w:family w:val="auto"/>
    <w:pitch w:val="default"/>
    <w:sig w:usb0="A00002BF" w:usb1="184F6CFA" w:usb2="00000012" w:usb3="00000000" w:csb0="00040001" w:csb1="00000000"/>
    <w:embedRegular r:id="rId4" w:fontKey="{F6639B1A-CBD2-48D7-BF27-FE2EDEF06E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AF2D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70E80">
                          <w:pPr>
                            <w:pStyle w:val="4"/>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670E80">
                    <w:pPr>
                      <w:pStyle w:val="4"/>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B156DA"/>
    <w:multiLevelType w:val="multilevel"/>
    <w:tmpl w:val="E7B156DA"/>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hMmNhMmEyNTUyMmI2NjE2NjIwODhjMWE0ZmExMTMifQ=="/>
  </w:docVars>
  <w:rsids>
    <w:rsidRoot w:val="00000000"/>
    <w:rsid w:val="00E1568C"/>
    <w:rsid w:val="01546613"/>
    <w:rsid w:val="02F13458"/>
    <w:rsid w:val="05A43E08"/>
    <w:rsid w:val="0A0E2A65"/>
    <w:rsid w:val="0AC51722"/>
    <w:rsid w:val="0ADC5790"/>
    <w:rsid w:val="0CF3634C"/>
    <w:rsid w:val="0D0B3D64"/>
    <w:rsid w:val="0E5A0DD3"/>
    <w:rsid w:val="123A0C48"/>
    <w:rsid w:val="130713F0"/>
    <w:rsid w:val="13C031C7"/>
    <w:rsid w:val="148F7029"/>
    <w:rsid w:val="15807C55"/>
    <w:rsid w:val="15D72862"/>
    <w:rsid w:val="176D2272"/>
    <w:rsid w:val="17C00184"/>
    <w:rsid w:val="18D5535F"/>
    <w:rsid w:val="1B002259"/>
    <w:rsid w:val="1B184626"/>
    <w:rsid w:val="1C4327AB"/>
    <w:rsid w:val="1EB678A8"/>
    <w:rsid w:val="23FE1AD5"/>
    <w:rsid w:val="245D0ED2"/>
    <w:rsid w:val="2538672F"/>
    <w:rsid w:val="25587435"/>
    <w:rsid w:val="2AC414FB"/>
    <w:rsid w:val="30422D49"/>
    <w:rsid w:val="319632A8"/>
    <w:rsid w:val="333414C9"/>
    <w:rsid w:val="36C66783"/>
    <w:rsid w:val="36F01431"/>
    <w:rsid w:val="3A816B64"/>
    <w:rsid w:val="3D760843"/>
    <w:rsid w:val="3E522CF1"/>
    <w:rsid w:val="3FF32092"/>
    <w:rsid w:val="3FFEB88F"/>
    <w:rsid w:val="418331C2"/>
    <w:rsid w:val="4343520E"/>
    <w:rsid w:val="43B9736F"/>
    <w:rsid w:val="449D6D0F"/>
    <w:rsid w:val="4C6A7458"/>
    <w:rsid w:val="4E780072"/>
    <w:rsid w:val="521861EF"/>
    <w:rsid w:val="526130AB"/>
    <w:rsid w:val="52D95CCF"/>
    <w:rsid w:val="53E60F10"/>
    <w:rsid w:val="545F71FB"/>
    <w:rsid w:val="56020701"/>
    <w:rsid w:val="56552B8F"/>
    <w:rsid w:val="5974713C"/>
    <w:rsid w:val="5BDD5BAB"/>
    <w:rsid w:val="5BEC7869"/>
    <w:rsid w:val="5C1A1EE9"/>
    <w:rsid w:val="62777806"/>
    <w:rsid w:val="67F1233B"/>
    <w:rsid w:val="6BF6341B"/>
    <w:rsid w:val="6C1E3A27"/>
    <w:rsid w:val="6C231FC6"/>
    <w:rsid w:val="6C8C2E23"/>
    <w:rsid w:val="6CF26FDE"/>
    <w:rsid w:val="6D3C35CE"/>
    <w:rsid w:val="70CB40BA"/>
    <w:rsid w:val="74966C49"/>
    <w:rsid w:val="74F841F7"/>
    <w:rsid w:val="776B5BB4"/>
    <w:rsid w:val="77F87AD4"/>
    <w:rsid w:val="797A0099"/>
    <w:rsid w:val="7A821BA7"/>
    <w:rsid w:val="7AA53BCD"/>
    <w:rsid w:val="7AEFAD92"/>
    <w:rsid w:val="7E4E5C75"/>
    <w:rsid w:val="7EF71C17"/>
    <w:rsid w:val="7EFF0AFA"/>
    <w:rsid w:val="7EFFD5A3"/>
    <w:rsid w:val="7FF12376"/>
    <w:rsid w:val="7FFE943E"/>
    <w:rsid w:val="C75BA0D4"/>
    <w:rsid w:val="E9F82584"/>
    <w:rsid w:val="EAFA4EBF"/>
    <w:rsid w:val="EBBDD21D"/>
    <w:rsid w:val="FE77ADD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essage Header"/>
    <w:next w:val="3"/>
    <w:unhideWhenUsed/>
    <w:qFormat/>
    <w:uiPriority w:val="99"/>
    <w:pPr>
      <w:widowControl w:val="0"/>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Cambria" w:hAnsi="Cambria" w:eastAsia="方正仿宋_GBK" w:cs="Times New Roman"/>
      <w:kern w:val="2"/>
      <w:sz w:val="24"/>
      <w:lang w:val="en-US" w:eastAsia="zh-CN" w:bidi="ar-SA"/>
    </w:rPr>
  </w:style>
  <w:style w:type="paragraph" w:styleId="3">
    <w:name w:val="Body Text"/>
    <w:basedOn w:val="1"/>
    <w:next w:val="1"/>
    <w:qFormat/>
    <w:uiPriority w:val="0"/>
    <w:rPr>
      <w:sz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rPr>
  </w:style>
  <w:style w:type="character" w:customStyle="1" w:styleId="8">
    <w:name w:val="font11"/>
    <w:basedOn w:val="7"/>
    <w:qFormat/>
    <w:uiPriority w:val="0"/>
    <w:rPr>
      <w:rFonts w:hint="eastAsia" w:ascii="方正仿宋_GBK" w:hAnsi="方正仿宋_GBK" w:eastAsia="方正仿宋_GBK" w:cs="方正仿宋_GBK"/>
      <w:color w:val="000000"/>
      <w:sz w:val="28"/>
      <w:szCs w:val="28"/>
      <w:u w:val="none"/>
    </w:rPr>
  </w:style>
  <w:style w:type="character" w:customStyle="1" w:styleId="9">
    <w:name w:val="font21"/>
    <w:basedOn w:val="7"/>
    <w:qFormat/>
    <w:uiPriority w:val="0"/>
    <w:rPr>
      <w:rFonts w:hint="eastAsia" w:ascii="方正仿宋_GBK" w:hAnsi="方正仿宋_GBK" w:eastAsia="方正仿宋_GBK" w:cs="方正仿宋_GBK"/>
      <w:color w:val="000000"/>
      <w:sz w:val="24"/>
      <w:szCs w:val="24"/>
      <w:u w:val="none"/>
    </w:rPr>
  </w:style>
  <w:style w:type="character" w:customStyle="1" w:styleId="10">
    <w:name w:val="font31"/>
    <w:basedOn w:val="7"/>
    <w:qFormat/>
    <w:uiPriority w:val="0"/>
    <w:rPr>
      <w:rFonts w:hint="eastAsia" w:ascii="方正仿宋_GBK" w:hAnsi="方正仿宋_GBK" w:eastAsia="方正仿宋_GBK" w:cs="方正仿宋_GBK"/>
      <w:b/>
      <w:bCs/>
      <w:color w:val="000000"/>
      <w:sz w:val="28"/>
      <w:szCs w:val="28"/>
      <w:u w:val="none"/>
    </w:rPr>
  </w:style>
  <w:style w:type="character" w:customStyle="1" w:styleId="11">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2743</Words>
  <Characters>2803</Characters>
  <Lines>1</Lines>
  <Paragraphs>1</Paragraphs>
  <TotalTime>23</TotalTime>
  <ScaleCrop>false</ScaleCrop>
  <LinksUpToDate>false</LinksUpToDate>
  <CharactersWithSpaces>2803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2026-04-29T00:27:00Z</dcterms:created>
  <dc:creator>Administrator</dc:creator>
  <cp:lastModifiedBy>Sukie</cp:lastModifiedBy>
  <cp:lastPrinted>2026-09-15T07:00:00Z</cp:lastPrinted>
  <dcterms:modified xsi:type="dcterms:W3CDTF">2026-09-15T07:36:05Z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482CCAAD4E4242E0B9DCFD743193D7CD_13</vt:lpwstr>
  </property>
  <property fmtid="{D5CDD505-2E9C-101B-9397-08002B2CF9AE}" pid="4" name="KSOTemplateDocerSaveRecord">
    <vt:lpwstr>eyJoZGlkIjoiM2RkOTU0NzI3MWZhYTEzYWY1YjIzNmJjYzBjMjEzMWYiLCJ1c2VySWQiOiI3MTUxMDk0MDMifQ==</vt:lpwstr>
  </property>
</Properties>
</file>