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CCC16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岗位说明书</w:t>
      </w:r>
    </w:p>
    <w:tbl>
      <w:tblPr>
        <w:tblStyle w:val="3"/>
        <w:tblpPr w:leftFromText="180" w:rightFromText="180" w:vertAnchor="text" w:horzAnchor="page" w:tblpX="1297" w:tblpY="171"/>
        <w:tblOverlap w:val="never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 w14:paraId="02F5F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180" w:type="dxa"/>
            <w:vAlign w:val="center"/>
          </w:tcPr>
          <w:p w14:paraId="0061A135">
            <w:pPr>
              <w:jc w:val="left"/>
              <w:rPr>
                <w:rFonts w:hint="default" w:ascii="宋体" w:hAnsi="宋体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val="en-US" w:eastAsia="zh-CN"/>
              </w:rPr>
              <w:t>部    门：联通（内蒙古）产业互联网有限公司</w:t>
            </w:r>
          </w:p>
        </w:tc>
      </w:tr>
      <w:tr w14:paraId="057B1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180" w:type="dxa"/>
            <w:vAlign w:val="center"/>
          </w:tcPr>
          <w:p w14:paraId="7270C675">
            <w:pPr>
              <w:jc w:val="left"/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bookmarkStart w:id="0" w:name="OLE_LINK1" w:colFirst="0" w:colLast="0"/>
            <w:r>
              <w:rPr>
                <w:rFonts w:hint="eastAsia" w:ascii="宋体" w:hAnsi="宋体"/>
                <w:b/>
                <w:color w:val="000000"/>
                <w:szCs w:val="21"/>
                <w:lang w:val="en-US" w:eastAsia="zh-CN"/>
              </w:rPr>
              <w:t>岗位名称：能源电力行业首席专家</w:t>
            </w:r>
          </w:p>
        </w:tc>
      </w:tr>
      <w:tr w14:paraId="0C513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4" w:hRule="atLeast"/>
        </w:trPr>
        <w:tc>
          <w:tcPr>
            <w:tcW w:w="9180" w:type="dxa"/>
            <w:vAlign w:val="top"/>
          </w:tcPr>
          <w:p w14:paraId="61AC823C">
            <w:pPr>
              <w:adjustRightInd w:val="0"/>
              <w:snapToGrid w:val="0"/>
              <w:spacing w:line="360" w:lineRule="auto"/>
              <w:jc w:val="both"/>
              <w:rPr>
                <w:rFonts w:hint="eastAsia" w:ascii="宋体" w:hAnsi="宋体"/>
                <w:b/>
                <w:color w:val="000000"/>
                <w:sz w:val="10"/>
                <w:szCs w:val="10"/>
              </w:rPr>
            </w:pPr>
          </w:p>
          <w:p w14:paraId="1C029F6B">
            <w:pPr>
              <w:adjustRightInd w:val="0"/>
              <w:snapToGrid w:val="0"/>
              <w:spacing w:line="360" w:lineRule="auto"/>
              <w:jc w:val="both"/>
              <w:rPr>
                <w:rFonts w:ascii="宋体" w:hAnsi="宋体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>主要岗位职责</w:t>
            </w:r>
            <w:r>
              <w:rPr>
                <w:rFonts w:ascii="宋体" w:hAnsi="宋体"/>
                <w:b/>
                <w:color w:val="000000"/>
                <w:szCs w:val="21"/>
                <w:highlight w:val="none"/>
              </w:rPr>
              <w:t>:</w:t>
            </w: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 xml:space="preserve"> </w:t>
            </w:r>
          </w:p>
          <w:p w14:paraId="3BF1C9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1、研判国家能源政策、行业规划及市场趋势，识别客户痛点与业务机会，</w:t>
            </w:r>
            <w:r>
              <w:rPr>
                <w:rFonts w:hint="default" w:ascii="宋体" w:hAnsi="宋体"/>
                <w:color w:val="000000"/>
                <w:szCs w:val="21"/>
                <w:highlight w:val="none"/>
                <w:lang w:eastAsia="zh-CN"/>
                <w:woUserID w:val="1"/>
              </w:rPr>
              <w:t>负责行业解决方案顶层设计与体系搭建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，输出行业洞察报告、业务规划及标准化解决方案白皮书，为公司市场拓展与业务定位提供战略支撑；</w:t>
            </w:r>
          </w:p>
          <w:p w14:paraId="69ACCA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2、</w:t>
            </w:r>
            <w:bookmarkStart w:id="1" w:name="OLE_LINK2"/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牵头能源电力重大、标杆项目售前全周期工作，涵盖商机研判、需求调研、方案策划、标书编制、方案宣讲及评审，持续提升重大项目中标率与落地成效；</w:t>
            </w:r>
            <w:bookmarkEnd w:id="1"/>
          </w:p>
          <w:p w14:paraId="23830E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3、负责对接政府主管部门、电网、发电集团及大型能源企业等高端客户，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建立高层次的政企沟通渠道与战略合作关系，打造公司在能源电力领域的专家品牌形象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；</w:t>
            </w:r>
          </w:p>
          <w:p w14:paraId="523D6F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4、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建立能源电力行业解决方案的知识库与方法论体系，持续赋能团队，提升整体方案设计与项目攻坚能力，夯实公司行业核心竞争力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；</w:t>
            </w:r>
          </w:p>
          <w:p w14:paraId="43744A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宋体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5、其他工作。</w:t>
            </w:r>
          </w:p>
        </w:tc>
      </w:tr>
      <w:bookmarkEnd w:id="0"/>
      <w:tr w14:paraId="74E40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0" w:hRule="atLeast"/>
        </w:trPr>
        <w:tc>
          <w:tcPr>
            <w:tcW w:w="9180" w:type="dxa"/>
          </w:tcPr>
          <w:p w14:paraId="51FC0786">
            <w:pPr>
              <w:tabs>
                <w:tab w:val="left" w:pos="252"/>
              </w:tabs>
              <w:adjustRightInd w:val="0"/>
              <w:snapToGrid w:val="0"/>
              <w:spacing w:line="360" w:lineRule="auto"/>
              <w:rPr>
                <w:rFonts w:hint="eastAsia" w:ascii="宋体" w:hAnsi="宋体"/>
                <w:b/>
                <w:color w:val="000000"/>
                <w:sz w:val="10"/>
                <w:szCs w:val="10"/>
              </w:rPr>
            </w:pPr>
          </w:p>
          <w:p w14:paraId="63C2AFCE">
            <w:pPr>
              <w:tabs>
                <w:tab w:val="left" w:pos="252"/>
              </w:tabs>
              <w:adjustRightInd w:val="0"/>
              <w:snapToGrid w:val="0"/>
              <w:spacing w:line="360" w:lineRule="auto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任职资格要求：</w:t>
            </w:r>
          </w:p>
          <w:p w14:paraId="4BB7F2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1、学历要求：985/211高等院校、TOP200全日制硕士研究生及以上学历、学位。</w:t>
            </w:r>
          </w:p>
          <w:p w14:paraId="57120F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2、专业知识：工学-计算机类、电子信息类、电气类、能源动力类、自动化类;理学-数学类、统计学类。</w:t>
            </w:r>
          </w:p>
          <w:p w14:paraId="33C0C9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3、年龄要求：35周岁及以下。特别优秀的，经公司党委审定，可放宽至40周岁。</w:t>
            </w:r>
          </w:p>
          <w:p w14:paraId="2B0CFA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4、用工形式：合同制员工。</w:t>
            </w:r>
          </w:p>
        </w:tc>
      </w:tr>
      <w:tr w14:paraId="16F03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9180" w:type="dxa"/>
          </w:tcPr>
          <w:p w14:paraId="1DB58F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宋体" w:hAnsi="宋体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szCs w:val="21"/>
                <w:lang w:val="en-US" w:eastAsia="zh-CN"/>
              </w:rPr>
              <w:t>专业</w:t>
            </w:r>
            <w:r>
              <w:rPr>
                <w:rFonts w:hint="eastAsia" w:ascii="宋体" w:hAnsi="宋体"/>
                <w:b/>
                <w:bCs/>
                <w:color w:val="000000"/>
                <w:szCs w:val="21"/>
                <w:lang w:val="en-US" w:eastAsia="zh-CN"/>
              </w:rPr>
              <w:t>能力要求</w:t>
            </w:r>
            <w:r>
              <w:rPr>
                <w:rFonts w:hint="default" w:ascii="宋体" w:hAnsi="宋体"/>
                <w:b/>
                <w:bCs/>
                <w:color w:val="000000"/>
                <w:szCs w:val="21"/>
                <w:lang w:val="en-US" w:eastAsia="zh-CN"/>
              </w:rPr>
              <w:t>：</w:t>
            </w:r>
          </w:p>
          <w:p w14:paraId="713876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Cs w:val="21"/>
                <w:lang w:val="en-US" w:eastAsia="zh-CN"/>
              </w:rPr>
              <w:t>1、3年以上能源、电力（含火电、水电、新能源、电网）或新型电力系统相关从业经验，熟悉发电、输配电、综合能源服务及数字化转型业务；</w:t>
            </w:r>
          </w:p>
          <w:p w14:paraId="5183DB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宋体" w:hAnsi="宋体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Cs w:val="21"/>
                <w:lang w:val="en-US" w:eastAsia="zh-CN"/>
              </w:rPr>
              <w:t>2、主导过大型智慧电厂、新能源集</w:t>
            </w:r>
            <w:bookmarkStart w:id="2" w:name="_GoBack"/>
            <w:bookmarkEnd w:id="2"/>
            <w:r>
              <w:rPr>
                <w:rFonts w:hint="eastAsia" w:ascii="宋体" w:hAnsi="宋体"/>
                <w:b w:val="0"/>
                <w:bCs w:val="0"/>
                <w:color w:val="000000"/>
                <w:szCs w:val="21"/>
                <w:lang w:val="en-US" w:eastAsia="zh-CN"/>
              </w:rPr>
              <w:t>控、源网荷储一体化或电力数字化项目，或参与能源领域省部级科研/行业标准制定；</w:t>
            </w:r>
            <w:r>
              <w:rPr>
                <w:rFonts w:hint="eastAsia" w:ascii="宋体" w:hAnsi="宋体"/>
                <w:b w:val="0"/>
                <w:bCs w:val="0"/>
                <w:color w:val="000000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/>
                <w:b w:val="0"/>
                <w:bCs w:val="0"/>
                <w:color w:val="000000"/>
                <w:szCs w:val="21"/>
                <w:lang w:val="en-US" w:eastAsia="zh-CN"/>
              </w:rPr>
              <w:t>3、能独立开展能源政策与市场趋势研判，设计端到端电力数字化解决方案；</w:t>
            </w:r>
          </w:p>
          <w:p w14:paraId="1E9704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宋体" w:hAnsi="宋体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Cs w:val="21"/>
                <w:lang w:val="en-US" w:eastAsia="zh-CN"/>
              </w:rPr>
              <w:t>4、有行业白皮书、发明专利、技术论文、科技奖项或规模化落地项目者优先。</w:t>
            </w:r>
          </w:p>
          <w:p w14:paraId="3D9A01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 w:val="0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/>
                <w:b w:val="0"/>
                <w:bCs w:val="0"/>
                <w:color w:val="000000"/>
                <w:szCs w:val="21"/>
                <w:lang w:val="en-US" w:eastAsia="zh-CN"/>
              </w:rPr>
              <w:t>、</w:t>
            </w:r>
            <w:r>
              <w:rPr>
                <w:rFonts w:hint="default" w:ascii="宋体" w:hAnsi="宋体"/>
                <w:b w:val="0"/>
                <w:bCs w:val="0"/>
                <w:color w:val="000000"/>
                <w:szCs w:val="21"/>
                <w:lang w:val="en-US" w:eastAsia="zh-CN"/>
              </w:rPr>
              <w:t>国内外头部互联网企业、科技大厂、行业龙头企业资深技术管理背景优先。</w:t>
            </w:r>
          </w:p>
        </w:tc>
      </w:tr>
    </w:tbl>
    <w:p w14:paraId="2D05ADA9">
      <w:p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sectPr>
      <w:pgSz w:w="11906" w:h="16838"/>
      <w:pgMar w:top="763" w:right="1576" w:bottom="1155" w:left="157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FD7DE2"/>
    <w:rsid w:val="00201DA5"/>
    <w:rsid w:val="02354EBC"/>
    <w:rsid w:val="066B574D"/>
    <w:rsid w:val="06DF751E"/>
    <w:rsid w:val="07791AE3"/>
    <w:rsid w:val="07AE627D"/>
    <w:rsid w:val="09E86691"/>
    <w:rsid w:val="0A1E0405"/>
    <w:rsid w:val="0BF44A28"/>
    <w:rsid w:val="0C18027B"/>
    <w:rsid w:val="0D7A59FD"/>
    <w:rsid w:val="0D912CA6"/>
    <w:rsid w:val="0DD01A76"/>
    <w:rsid w:val="0E477756"/>
    <w:rsid w:val="0E844E24"/>
    <w:rsid w:val="132725E6"/>
    <w:rsid w:val="13FD7DE2"/>
    <w:rsid w:val="148C009C"/>
    <w:rsid w:val="16D67F7D"/>
    <w:rsid w:val="16EE6684"/>
    <w:rsid w:val="18F706E7"/>
    <w:rsid w:val="19754C5F"/>
    <w:rsid w:val="1996685F"/>
    <w:rsid w:val="1A3306B5"/>
    <w:rsid w:val="1B3B2394"/>
    <w:rsid w:val="1BB0588B"/>
    <w:rsid w:val="1C951A0B"/>
    <w:rsid w:val="1D2F2FB7"/>
    <w:rsid w:val="1D6505DA"/>
    <w:rsid w:val="1DAD5160"/>
    <w:rsid w:val="1DEA0AF5"/>
    <w:rsid w:val="1E0D1384"/>
    <w:rsid w:val="1E2B2D37"/>
    <w:rsid w:val="1E2D7FE2"/>
    <w:rsid w:val="21B7054D"/>
    <w:rsid w:val="23267F49"/>
    <w:rsid w:val="25406CB3"/>
    <w:rsid w:val="259F7BDF"/>
    <w:rsid w:val="26962DDB"/>
    <w:rsid w:val="28243172"/>
    <w:rsid w:val="285A5748"/>
    <w:rsid w:val="2A743EBF"/>
    <w:rsid w:val="2D981BC6"/>
    <w:rsid w:val="2DF54C03"/>
    <w:rsid w:val="2E2B414C"/>
    <w:rsid w:val="2E7151DB"/>
    <w:rsid w:val="2F3E5AC7"/>
    <w:rsid w:val="30564819"/>
    <w:rsid w:val="306D799B"/>
    <w:rsid w:val="32FD5AF0"/>
    <w:rsid w:val="34405E85"/>
    <w:rsid w:val="34AC1DD0"/>
    <w:rsid w:val="35732E5B"/>
    <w:rsid w:val="369A3474"/>
    <w:rsid w:val="3713116B"/>
    <w:rsid w:val="38B81D49"/>
    <w:rsid w:val="392C0D5C"/>
    <w:rsid w:val="3A212F7B"/>
    <w:rsid w:val="3B0145E5"/>
    <w:rsid w:val="3B1532F6"/>
    <w:rsid w:val="3D6D5747"/>
    <w:rsid w:val="3D87739F"/>
    <w:rsid w:val="3DF15858"/>
    <w:rsid w:val="3F151212"/>
    <w:rsid w:val="3FC55021"/>
    <w:rsid w:val="40882F13"/>
    <w:rsid w:val="412830D7"/>
    <w:rsid w:val="417714CA"/>
    <w:rsid w:val="41B84DAF"/>
    <w:rsid w:val="45F20D85"/>
    <w:rsid w:val="470A7274"/>
    <w:rsid w:val="472268C3"/>
    <w:rsid w:val="4B6E5BCE"/>
    <w:rsid w:val="4B8A2CBB"/>
    <w:rsid w:val="4C762296"/>
    <w:rsid w:val="4D2741FE"/>
    <w:rsid w:val="4E04259B"/>
    <w:rsid w:val="4EC66B30"/>
    <w:rsid w:val="4EEE33F4"/>
    <w:rsid w:val="4F56462C"/>
    <w:rsid w:val="4F746FD8"/>
    <w:rsid w:val="50AD7AAB"/>
    <w:rsid w:val="52C805E1"/>
    <w:rsid w:val="52CC0FE3"/>
    <w:rsid w:val="54CF0734"/>
    <w:rsid w:val="57CB0E2D"/>
    <w:rsid w:val="59441C43"/>
    <w:rsid w:val="5AD25898"/>
    <w:rsid w:val="5BEC7E8A"/>
    <w:rsid w:val="5C6C0D80"/>
    <w:rsid w:val="5CE64339"/>
    <w:rsid w:val="5D835EBE"/>
    <w:rsid w:val="63A37E5A"/>
    <w:rsid w:val="64F86ED7"/>
    <w:rsid w:val="656E2B79"/>
    <w:rsid w:val="65997DE8"/>
    <w:rsid w:val="66D21F33"/>
    <w:rsid w:val="67002FF2"/>
    <w:rsid w:val="676E7F3D"/>
    <w:rsid w:val="682F2140"/>
    <w:rsid w:val="6A5E5936"/>
    <w:rsid w:val="6B7226D7"/>
    <w:rsid w:val="70AB0290"/>
    <w:rsid w:val="715A4C86"/>
    <w:rsid w:val="72014844"/>
    <w:rsid w:val="726457F3"/>
    <w:rsid w:val="72DD4E35"/>
    <w:rsid w:val="734D451C"/>
    <w:rsid w:val="751A43AC"/>
    <w:rsid w:val="76107192"/>
    <w:rsid w:val="76191423"/>
    <w:rsid w:val="76427717"/>
    <w:rsid w:val="791309A5"/>
    <w:rsid w:val="797B71ED"/>
    <w:rsid w:val="7A361D44"/>
    <w:rsid w:val="7B605C32"/>
    <w:rsid w:val="7B8810C0"/>
    <w:rsid w:val="7BED7BC5"/>
    <w:rsid w:val="7C5B218C"/>
    <w:rsid w:val="7C713432"/>
    <w:rsid w:val="7D3F48F7"/>
    <w:rsid w:val="7DE76317"/>
    <w:rsid w:val="7E39D08C"/>
    <w:rsid w:val="7EBFEDFF"/>
    <w:rsid w:val="7FCF539B"/>
    <w:rsid w:val="A3FF05BB"/>
    <w:rsid w:val="FE4F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集团总部</Company>
  <Pages>1</Pages>
  <Words>736</Words>
  <Characters>749</Characters>
  <Lines>0</Lines>
  <Paragraphs>0</Paragraphs>
  <TotalTime>1</TotalTime>
  <ScaleCrop>false</ScaleCrop>
  <LinksUpToDate>false</LinksUpToDate>
  <CharactersWithSpaces>756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2025-05-15T18:38:00Z</dcterms:created>
  <dc:creator>刘小娜</dc:creator>
  <cp:lastModifiedBy>顾秧</cp:lastModifiedBy>
  <cp:lastPrinted>2025-07-02T09:21:00Z</cp:lastPrinted>
  <dcterms:modified xsi:type="dcterms:W3CDTF">2026-06-30T07:28:43Z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18C2D1CE73FA49128560ECE284FF0BC4_13</vt:lpwstr>
  </property>
  <property fmtid="{D5CDD505-2E9C-101B-9397-08002B2CF9AE}" pid="4" name="KSOTemplateDocerSaveRecord">
    <vt:lpwstr>eyJoZGlkIjoiYTE2NTRjOTVkNDYwYzNkMTk4ZTEyZjRkMzBkYjU3NDIiLCJ1c2VySWQiOiI0NTc2ODMxNjkifQ==</vt:lpwstr>
  </property>
</Properties>
</file>